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983B87">
      <w:pPr>
        <w:pStyle w:val="2"/>
        <w:bidi w:val="0"/>
        <w:jc w:val="center"/>
        <w:rPr>
          <w:rFonts w:hint="default" w:ascii="Times New Roman" w:hAnsi="Times New Roman" w:cs="Times New Roman"/>
          <w:b/>
          <w:bCs w:val="0"/>
          <w:sz w:val="36"/>
          <w:szCs w:val="36"/>
        </w:rPr>
      </w:pPr>
      <w:r>
        <w:rPr>
          <w:rFonts w:hint="eastAsia"/>
          <w:b/>
          <w:bCs/>
          <w:sz w:val="36"/>
          <w:szCs w:val="36"/>
        </w:rPr>
        <w:t>Rat FGF4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06D1B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0A3BE1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17DD6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5D12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D739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4C2DE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89335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5D454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AE58A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3EBC0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3B3F9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9F261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5792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163D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E90E5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577E7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8F68C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F0E4E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34B23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138CA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75EB9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27C43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16275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B68BA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F90D5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4F5E3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CDEE2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5EF44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成纤维细胞生长因子受体4是一种由FGFR4基因编码的蛋白质。它被映射到13 B1；13.29.8厘米。FGFR4也被指定为CD334（分化簇334）。该基因编码的蛋白质是成纤维细胞生长因子受体家族的一员，在该家族成员之间以及整个进化过程中，氨基酸序列高度保守。FGFR家族成员在配体亲和力和组织分布方面彼此不同。由一个具有代表性的胞外蛋白激酶和一个跨胞质的酪氨酸段组成。蛋白质的细胞外部分与成纤维细胞生长因子相互作用，启动一系列下游信号，最终影响有丝分裂和分化。与成员1-3相比，该基因的基因组结构包含18个外显子，而不是19或20个外显子。</w:t>
      </w:r>
    </w:p>
    <w:p w14:paraId="67CFEF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8980B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FB102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7C538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37D5D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069184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BCDAF1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8D8D43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31CAD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E8DAD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A9B1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1538E9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2DE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4CDD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6B28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76E8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A8DF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F888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49F2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294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7411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F9E45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AA71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0748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D8B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8902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FC12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E54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D362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2591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2E2BB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4A9B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D59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77C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C46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B80A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62AF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EBD2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5E0D1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2B2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A4E8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FE82F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5C8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7176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D9F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247B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83201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C38A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EDBAB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49B9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A6D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44F3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5F068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9E90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FD7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D118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32C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64F0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EB007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279E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277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3A4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579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28B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B8D9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CCCC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4EA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7F65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83AB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4120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B4F7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EDA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EB7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0E005D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A170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6C1A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230E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90887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F691A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583B1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D1F04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6A96D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B7BF2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A834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16C42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51BAE1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D2AA1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46FD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7078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C8857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746E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B6854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B5F7F4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EA5A4F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67FF8B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5B3B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68EAD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C20FC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ABCD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D93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0502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204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EDD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11AB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2D8E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FF42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5F7C7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AAF4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EA8B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E8A3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96CC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762A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22D4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059CE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8F9F3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2AB8B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886A4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8A2A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C886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9D3F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A285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9F6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7042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9807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2DBD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0F7A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295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DD7DD8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292E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FBCE0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B1DB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D220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99567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B63CA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5EEB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A52FA7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61CB4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EBD2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5D25C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B5F5B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3A904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08044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6E6C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63545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15100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2554A5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97B6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9F7ADF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BA2413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4CE0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B436D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54183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82D8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C74D9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51ABC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B1F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44E39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74D1D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E366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0F811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B3AE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8C263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52A1C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33139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31E9E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4AE1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26E8C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2FC1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7D4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CC15C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491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6D6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B126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1167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A8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97656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1EA3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196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F5705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EEC4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CCA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A3A23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EC91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AF1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18F2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00DD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FF9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75D36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13AE5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FC2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3D4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57E3F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A63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31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89CB7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D5C4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BBE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30FBE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06F7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58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839D9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5800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D9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0F019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45A1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BCE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04AFE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00D0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582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1305B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9384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D48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ED0F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98EB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70A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730C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9065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2CB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5CE77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7E5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E7F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52291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FB4E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095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A89CA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6A967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979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19AE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C0A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9AB7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BBC3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F434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4C06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AD1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FFEE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317C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58A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95B3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2199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7FC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0CA4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A34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56F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808C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ABEEB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435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92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DADD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9F0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6E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6432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5AB1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CE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8851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7AFA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AE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8168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33A9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6B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1325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C565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2B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EEA4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ABC5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FF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6CC6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F0C4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BC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0497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781E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37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F5DA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4BAD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9C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3257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3795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B6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AB2B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0729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D5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2087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7EAC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B0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BF7F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CC12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B6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B7FA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3DABC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7F35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AD0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63F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AA6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17B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260E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2733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6AC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0756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50A2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92D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031C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E286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B63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7558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4E9E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7CD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FFF2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46FB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FBA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AA72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A12B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CE6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6254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B89B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78C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CD5C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EAE3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2C2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E643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8B947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F2DDD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9BA89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B4A10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64D9A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D1A49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879EF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C71C4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5F39C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BEE2F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038D9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1ABE2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2AF22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43121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346CE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0049B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05506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0DBB61D">
      <w:pPr>
        <w:rPr>
          <w:rFonts w:hint="default" w:ascii="Times New Roman" w:hAnsi="Times New Roman" w:cs="Times New Roman"/>
          <w:sz w:val="22"/>
          <w:szCs w:val="22"/>
        </w:rPr>
      </w:pPr>
    </w:p>
    <w:p w14:paraId="7D3A416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DCBEFC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FGF4 Elisa Kit</w:t>
      </w:r>
    </w:p>
    <w:p w14:paraId="504BCB2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B0DDF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8C2F4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9F4A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495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7D1D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A04B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263E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C7BB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A3A3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4B79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FFA4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1E66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267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8EE9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3867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E464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5D4B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D9D1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DA1D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81E9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A0921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AD356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B35EE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4BDD0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4D1AC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10544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DC7E0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Fibroblast growth factor receptor 4 is a protein that in humans is encoded by the FGFR4 gene. It is mapped to 13 B1; 13 29.8 cM. FGFR4 has also been designated as CD334 (cluster of differentiation 334). The protein encoded by this gene is a member of the fibroblast growth factor receptor family, where amino acid sequence is highly conserved between members and throughout evolution. FGFR family members differ from one another in their ligand affinities and tissue distribution. A full-length representative protein would consist of an extracellular region, composed of three immunoglobulin-like domains, a single hydrophobic membrane-spanning segment and a cytoplasmic tyrosine kinase domain. The extracellular portion of the protein interacts with fibroblast growth factors, setting in motion a cascade of downstream signals, ultimately influencing mitogenesis and differentiation. The genomic organization of this gene, compared to members 1-3, encompasses 18 exons rather than 19 or 20. Although alternative splicing has been observed, there is no evidence that the C-terminal half of the IgIII domain of this protein varies between three alternate forms, as indicated for members 1-3. This particular family member preferentially binds acidic fibroblast growth factor and, although its specific function is unknown, it is overexpressed in gynecological tumor samples, suggesting a role in breast and ovarian tumorigenesis.</w:t>
      </w:r>
    </w:p>
    <w:p w14:paraId="0E42794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A8AE39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562AAC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6A45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B3B9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841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D931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F898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360F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ACC1D4D">
      <w:pPr>
        <w:rPr>
          <w:rFonts w:hint="default" w:ascii="Times New Roman" w:hAnsi="Times New Roman" w:cs="Times New Roman"/>
          <w:b/>
          <w:bCs/>
          <w:sz w:val="28"/>
          <w:szCs w:val="28"/>
        </w:rPr>
      </w:pPr>
    </w:p>
    <w:p w14:paraId="52D0AB1C">
      <w:pPr>
        <w:rPr>
          <w:rFonts w:hint="default" w:ascii="Times New Roman" w:hAnsi="Times New Roman" w:cs="Times New Roman"/>
          <w:b/>
          <w:bCs/>
          <w:sz w:val="28"/>
          <w:szCs w:val="28"/>
        </w:rPr>
      </w:pPr>
    </w:p>
    <w:p w14:paraId="4CE45125">
      <w:pPr>
        <w:rPr>
          <w:rFonts w:hint="default" w:ascii="Times New Roman" w:hAnsi="Times New Roman" w:cs="Times New Roman"/>
          <w:b/>
          <w:bCs/>
          <w:sz w:val="28"/>
          <w:szCs w:val="28"/>
        </w:rPr>
      </w:pPr>
    </w:p>
    <w:p w14:paraId="6D6DBDEF">
      <w:pPr>
        <w:rPr>
          <w:rFonts w:hint="default" w:ascii="Times New Roman" w:hAnsi="Times New Roman" w:cs="Times New Roman"/>
          <w:b/>
          <w:bCs/>
          <w:sz w:val="28"/>
          <w:szCs w:val="28"/>
        </w:rPr>
      </w:pPr>
    </w:p>
    <w:p w14:paraId="3B4AD43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CD66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16A4F4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EB45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7C5D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B2959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5FCF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20EB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2FBD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A4A3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DE21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4C3E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CCA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536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F916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DF06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68F3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CD63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BF3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9B91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D186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7555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D25A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2AFC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FD79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3DF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EB0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4EC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6E8F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E5E6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3A94C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5532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1AB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BFAE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ACF9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094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ABB7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8CB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C155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CD93F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8BFEB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F268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BD1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0A82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6244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C56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903B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40D1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8045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07B3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021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584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DCC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22A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AEB2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85F3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CFAF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72D2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AAE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1BC3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2668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18D3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69E5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085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7650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2A80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D0FC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A29D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4A73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1B1F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BD3C2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4B3C1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F6291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3B5EE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931C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B67F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37ED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0FD7E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357DF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314B14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122C3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D1D04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BF8B5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70CD5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736E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CF349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B1670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73785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06EBA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1DD3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3659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8367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3AAE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741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AA8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9ED7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78B6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35E22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137FC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1502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6A31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55D4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2F5C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1A2E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5709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EABD4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7EF4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B6581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817B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EA742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39764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E3ED1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D3BA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F8304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FDEF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6E78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9AAF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AE8D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1903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00C0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F87D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5712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F9E5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1D61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2CF4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70E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800C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6B8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C302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4FDA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680D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2A56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CC37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B76C1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F6332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7E10E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5121F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09C08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45B49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64FAC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B2CE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D2AAB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BCAB7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E88E4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26B4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E200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798D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9DF51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A904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88C6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C450E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A8F5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4466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9709E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B5D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9141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0BC62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000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B99F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6673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3A97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F400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1960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765E9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E0FEB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84D70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FE13A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196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8A76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1982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9C4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3F40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C1D74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3A5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29DE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F5CF3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348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E69D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ECB4E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5CB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D6EB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CAC48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F9B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FBDC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0EE5E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6A3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7527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9B604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843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3D0F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6C98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02B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C5C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BE75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E57D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C51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2909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9835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B79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71C2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7835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BF6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6362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DDB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48C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F81E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AC3E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085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D6DF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7C0C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728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259A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F152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796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B5A0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18C0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940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D05F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1E94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61A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A96B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C266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45F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921A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DF04F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BD8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68F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B2C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174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8AD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7897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AC25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E71F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83E1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5536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240C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0560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E779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CE7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BFA0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184A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0EB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0797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8923E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5AF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F7B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8A1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757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462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FB1B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E36C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238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76C2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D0C2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FC3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2BCC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7F71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0ED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E3B7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C967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D40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42E8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62E0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7DF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504D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E510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C0D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A1D6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D007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D02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74CD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ECF4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D3A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6F76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A239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B93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2ACF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0CBA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4DC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12E1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3AC1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590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D4AA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7D77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D21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3551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FC4F5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EC2F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EFD4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B940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7926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A41AC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7EE1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91F4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F8F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330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27E5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34F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8EFE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335D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FDD9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4A0D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E570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EE4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114F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5ECE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6E44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E27B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1F57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6D8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A97C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0C80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3AD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C876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A11B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5F8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D2DC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85025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8E00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8A23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E192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35A5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C6EC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C844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BB34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95AE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9107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2DA3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6B28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7EDA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BDC1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79C2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A6E7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666B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6D4E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3A70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63A70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9625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0D10E0C">
    <w:pPr>
      <w:pStyle w:val="6"/>
      <w:jc w:val="both"/>
    </w:pPr>
  </w:p>
  <w:p w14:paraId="4434D2E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FAB4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397B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0BE1848"/>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8911</Words>
  <Characters>18582</Characters>
  <Lines>251</Lines>
  <Paragraphs>70</Paragraphs>
  <TotalTime>0</TotalTime>
  <ScaleCrop>false</ScaleCrop>
  <LinksUpToDate>false</LinksUpToDate>
  <CharactersWithSpaces>20572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2026-03-12T02:32:43Z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