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E2A32">
      <w:pPr>
        <w:pStyle w:val="2"/>
        <w:bidi w:val="0"/>
        <w:jc w:val="center"/>
        <w:rPr>
          <w:rFonts w:hint="default" w:ascii="Times New Roman" w:hAnsi="Times New Roman" w:cs="Times New Roman"/>
          <w:b/>
          <w:bCs w:val="0"/>
          <w:sz w:val="36"/>
          <w:szCs w:val="36"/>
        </w:rPr>
      </w:pPr>
      <w:r>
        <w:rPr>
          <w:rFonts w:hint="eastAsia"/>
          <w:b/>
          <w:bCs/>
          <w:sz w:val="36"/>
          <w:szCs w:val="36"/>
        </w:rPr>
        <w:t>Human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44F1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DDA3F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AC791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F7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D4E4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450D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48D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104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22F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04C0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886E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C3C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378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5CF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9BE0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98E6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889D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9369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87E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4AFF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203F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32C4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F4FA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E634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6A44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EB1C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EF98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294689">
      <w:pPr>
        <w:pStyle w:val="16"/>
        <w:numPr>
          <w:ilvl w:val="0"/>
          <w:numId w:val="3"/>
        </w:numPr>
        <w:spacing w:line="360" w:lineRule="auto"/>
        <w:ind w:firstLineChars="0"/>
        <w:jc w:val="both"/>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介：生长分化因子15（GDF-15），又称巨噬细胞抑制性细胞因子1（MIC-1）。MIC-1</w:t>
      </w:r>
      <w:r>
        <w:rPr>
          <w:rFonts w:hint="eastAsia" w:ascii="Times New Roman" w:hAnsi="Times New Roman" w:cs="Times New Roman"/>
          <w:lang w:val="en-US" w:eastAsia="zh-CN"/>
        </w:rPr>
        <w:t xml:space="preserve"> </w:t>
      </w:r>
      <w:r>
        <w:rPr>
          <w:rFonts w:hint="default" w:ascii="Times New Roman" w:hAnsi="Times New Roman" w:cs="Times New Roman"/>
        </w:rPr>
        <w:t>mRNA在单核细胞样细胞中的表达受多种与活化相关的刺激物上调，包括白细胞介素1β、肿瘤坏死因子α（TNF-α）、白细胞介素2和巨噬细胞集落刺激因子，而不是干扰素γ或脂多糖（LPS）。在正常和病理状态下，它在心肌细胞、脂肪细胞、巨噬细胞、内皮细胞和血管平滑肌细胞中高度表达。GDF-15在组织损伤和炎症状态下增加，并与心脏代谢风险相关。GDF-15水平升高与心血管疾病有关。</w:t>
      </w:r>
    </w:p>
    <w:p w14:paraId="0D68D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1C3F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D755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0E1C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2C3D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869F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29BE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6348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CFB7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22A8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3C9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273B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9E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E6F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542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D7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1A5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950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287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83E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66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C97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552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87D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481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21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B69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6D6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1A8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558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F0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08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8F6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88E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F9A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A69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2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CA0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3C5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8F3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5F0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E3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2D0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D36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4C4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190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E4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C1D5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6E29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E0C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C79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831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69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1BD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6A48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B26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ECE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988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6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01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444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AD6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89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6E8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44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B2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6BA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EE0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FC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B0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009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8DC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CC2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6D5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11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BF94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43C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313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947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768D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FE48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661E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808B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0624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DF3C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F97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C6F0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C2DA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E773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4C90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F7EE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53F3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DE01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3A8C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FDAE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0C6A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95FA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95A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65A6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7F10D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CB5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91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EBC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8B4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05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033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8A6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C1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221E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BEE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DEB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1CD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84F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4E9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379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8F94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F8FA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F953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FA0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5AB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96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037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E4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8E8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FB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212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4BB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221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BF9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EEA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C35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5CA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940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B2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4D5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D5A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CBD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B1FE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AA67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9BFF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0FD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27FF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3660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650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DC1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88E2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A07B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AA25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12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15FA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DED1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CD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91D4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D93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D7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7009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75CB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21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C08F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A2A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5F6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33F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541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351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A43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3EC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BAA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263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AAA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3D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73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6AB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BD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F7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B8B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89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01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F70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A4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56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73A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DD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93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FE0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1C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08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70C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A7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2A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450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9D15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1F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19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546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CC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B9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5C4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CD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04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E20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34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88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485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B3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FF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77C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83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CD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FDE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C9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BB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3E8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59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4F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7B5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94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C7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934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17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73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EFB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6A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4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12E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9B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BD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CB5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6D72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BF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EF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F1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D0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18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80E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BD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F9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CD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01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07F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B6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E5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52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77F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F4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8C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15F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1B91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43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E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3B3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88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69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FF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B0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20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D3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79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91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DF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8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10B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5D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5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F7E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D5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F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4C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9D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2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0FD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5C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8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AC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FA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0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4A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96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E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D1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D0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631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2C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3B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CE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45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71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C2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C1D7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2F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2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816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FD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8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7B7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F9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6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D65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CF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7E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4F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64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C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FF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0C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6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DC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F2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A3C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D8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AF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7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982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90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93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431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88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C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E63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4BE1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58B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3C4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CE8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24EA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78A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EEC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211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F04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5DE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426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E1A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53A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A6E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78F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75A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4C98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2F7FCC">
      <w:pPr>
        <w:rPr>
          <w:rFonts w:hint="default" w:ascii="Times New Roman" w:hAnsi="Times New Roman" w:cs="Times New Roman"/>
          <w:sz w:val="22"/>
          <w:szCs w:val="22"/>
        </w:rPr>
      </w:pPr>
    </w:p>
    <w:p w14:paraId="5F29D2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A721B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GDF-15 Elisa Kit</w:t>
      </w:r>
    </w:p>
    <w:p w14:paraId="28375C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0609C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D5AD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0F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088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805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7F5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503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8F1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BE8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56C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838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51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A78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7BA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836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7F7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5A29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6C3E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3BF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BB10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F98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291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CBB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72B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A26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8E1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5FD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Introduction: </w:t>
      </w:r>
      <w:r>
        <w:rPr>
          <w:rFonts w:hint="default" w:ascii="Times New Roman" w:hAnsi="Times New Roman" w:cs="Times New Roman"/>
        </w:rPr>
        <w:t>Growth Differentiation Factor 15 (GDF-15), also called Macrophage Inhibitory Cytokine 1 (MIC-1). Expression of MIC-1 mRNA in monocytoid cells is up-regulated by a variety of stimuli associated with activation, including interleukin 1β, tumor necrosis factor α (TNF-α), interleukin 2, and macrophage colony-stimulating factor but not interferon γ, or lipopolysaccharide (LPS). It is highly expressed in cardiomyocytes, adipocytes, macrophages, endothelial cells, and vascular smooth muscle cells in normal and pathological condition. GDF-15 increases during tissue injury and inflammatory states and is</w:t>
      </w:r>
      <w:bookmarkStart w:id="0" w:name="_GoBack"/>
      <w:bookmarkEnd w:id="0"/>
      <w:r>
        <w:rPr>
          <w:rFonts w:hint="default" w:ascii="Times New Roman" w:hAnsi="Times New Roman" w:cs="Times New Roman"/>
        </w:rPr>
        <w:t xml:space="preserve"> associated with cardiometabolic risk. Increased GDF-15 levels are associated with cardiovascular diseases such as hypertrophy, heart failure, atherosclerosis, endothelial dysfunction, obesity, insulin resistance, diabetes, and chronic kidney diseases in diabetes. Increased GDF-15 level is linked with the progression and prognosis of the disease condition.</w:t>
      </w:r>
    </w:p>
    <w:p w14:paraId="377829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77EB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8C7B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7CA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38E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B3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88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0B0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5A9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CA41B8">
      <w:pPr>
        <w:rPr>
          <w:rFonts w:hint="default" w:ascii="Times New Roman" w:hAnsi="Times New Roman" w:cs="Times New Roman"/>
          <w:b/>
          <w:bCs/>
          <w:sz w:val="28"/>
          <w:szCs w:val="28"/>
        </w:rPr>
      </w:pPr>
    </w:p>
    <w:p w14:paraId="1F0853D8">
      <w:pPr>
        <w:rPr>
          <w:rFonts w:hint="default" w:ascii="Times New Roman" w:hAnsi="Times New Roman" w:cs="Times New Roman"/>
          <w:b/>
          <w:bCs/>
          <w:sz w:val="28"/>
          <w:szCs w:val="28"/>
        </w:rPr>
      </w:pPr>
    </w:p>
    <w:p w14:paraId="680DE000">
      <w:pPr>
        <w:rPr>
          <w:rFonts w:hint="default" w:ascii="Times New Roman" w:hAnsi="Times New Roman" w:cs="Times New Roman"/>
          <w:b/>
          <w:bCs/>
          <w:sz w:val="28"/>
          <w:szCs w:val="28"/>
        </w:rPr>
      </w:pPr>
    </w:p>
    <w:p w14:paraId="2BD2107D">
      <w:pPr>
        <w:rPr>
          <w:rFonts w:hint="default" w:ascii="Times New Roman" w:hAnsi="Times New Roman" w:cs="Times New Roman"/>
          <w:b/>
          <w:bCs/>
          <w:sz w:val="28"/>
          <w:szCs w:val="28"/>
        </w:rPr>
      </w:pPr>
    </w:p>
    <w:p w14:paraId="215A57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29B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A861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223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1A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7DE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FD1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7A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10B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E5F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D43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DD9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4C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33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6A3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587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813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AF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9C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162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643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85D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34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E3E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66F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DB9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1F9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EC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B22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72A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CD84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E3C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E1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EA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C12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0FE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585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7E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EB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9B4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6AE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C6A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DA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E0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86D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92C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CCF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77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5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83C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976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882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3A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7B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681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074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605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EB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AB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684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F78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226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34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B7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E30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AD1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D2D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5BC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61A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D7A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582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F46B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440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FFE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77D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2707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287B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BDFF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9E41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88E0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3E2B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990A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DC91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F918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3CD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878F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13B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370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D90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0B8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BE6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5CF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920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A73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31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372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CF3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960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C70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FDD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AA8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F5A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613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637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0A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F04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149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FFF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9E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B42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E874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F175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D4F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2F4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CD3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815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BA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BC1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E99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81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326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5B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8FE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C94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41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D62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9C3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223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C6D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995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DC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065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E1C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2867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007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FA29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05E4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D30E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CE89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6CB6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4C71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860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5A7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70F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A1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2B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46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3754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91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174A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A35B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2F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650D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CE8D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C1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093A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1E0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0E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C61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063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ABD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EFE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3F2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BBD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D5E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076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2B96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3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2B0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4531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5C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563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8EBD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FF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00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C5A6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9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469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D207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5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3E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D74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4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B8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318C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66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E7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5B1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13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FE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D3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C3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61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A5C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2E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A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CD5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3E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3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34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9F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02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94E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AD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56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52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00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A8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4A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E1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06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B57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79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F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59D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2F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EDD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113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78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73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84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5F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7E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71A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4D2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A4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28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ED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AF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7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52D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49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2398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FE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45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FF7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C7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7F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A42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08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69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00A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83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B8D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0B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77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60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9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8A8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9F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FC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A7D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93A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FA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DC3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822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53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C5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993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F4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4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580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20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F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3C5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33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9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87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60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A5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0D6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39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5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2E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85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46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4B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BF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71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2F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67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5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E5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61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D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9EE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387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ED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14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43C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3C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3578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BF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5B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EC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63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A1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74E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2EE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13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5E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41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44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36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40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1F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320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B50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47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D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EA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E2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A2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FFB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5B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12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5CC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384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0FE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40B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0F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877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9D1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916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D4F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A20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34F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99D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DC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B8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77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4CF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6A4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3D0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AA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AB17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AB17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630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5A4BBE">
    <w:pPr>
      <w:pStyle w:val="6"/>
      <w:jc w:val="both"/>
    </w:pPr>
  </w:p>
  <w:p w14:paraId="7FD7DF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094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F8C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443996"/>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9463</Words>
  <Characters>21810</Characters>
  <Lines>251</Lines>
  <Paragraphs>70</Paragraphs>
  <TotalTime>1</TotalTime>
  <ScaleCrop>false</ScaleCrop>
  <LinksUpToDate>false</LinksUpToDate>
  <CharactersWithSpaces>24447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