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细胞毒素和蠕虫毒素。也诱导人嗜碱性粒细胞释放非细胞溶解组胺。参与抗寄生虫防御机制和免疫过敏反应。前体形式作为蛋白酶抑制剂，降低PAPPA的活性。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prg2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Cytotoxin and helminthotoxin. Also induces non-cytolytic histamine release from human basophils. Involved in antiparasitic defense mechanisms and immune hypersensitivity reactions. The proform acts as a proteinase inhibitor, reducing the activity of PAPPA.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