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HRH1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体内组胺受体有 H1、H2、H3 三种亚型，其中 H1 受体多分布于毛细血管、支气管、肠道平滑肌，当 H1 受体活化时，可引起过敏性荨麻疹、血管神经水肿伴随的瘙痒、喉痉挛及支气管痉挛等反应。</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HRH1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There are three subtypes of histamine receptors in vivo: H1, H2 and H3. H1 receptors are mainly distributed in capillaries, bronchi and intestinal smooth muscle. When H1 receptors are activated, they can cause allergic urticaria, pruritus associated with angioneuroedema, laryngospasm and bronchospasm.</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