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1A2773">
      <w:pPr>
        <w:pStyle w:val="2"/>
        <w:bidi w:val="0"/>
        <w:jc w:val="center"/>
        <w:rPr>
          <w:rFonts w:hint="default" w:ascii="Times New Roman" w:hAnsi="Times New Roman" w:cs="Times New Roman"/>
          <w:b/>
          <w:bCs w:val="0"/>
          <w:sz w:val="36"/>
          <w:szCs w:val="36"/>
        </w:rPr>
      </w:pPr>
      <w:r>
        <w:rPr>
          <w:rFonts w:hint="eastAsia"/>
          <w:b/>
          <w:bCs/>
          <w:sz w:val="36"/>
          <w:szCs w:val="36"/>
        </w:rPr>
        <w:t>Canine sRANK Ligand/TNFSF11/TRANCE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CD57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AB263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EBA1A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27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A55C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FC1A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FEEB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47E0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D35D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2DE0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4E2B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A0F5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6B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752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3E7F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FC1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475E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C19F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063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3E99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4FB4B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6E34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2498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F660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5CC9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850A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E20D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2693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在小鼠中靶向破坏相关基因导致严重的骨质疏松症和破骨细胞的缺乏。缺陷小鼠在T和B淋巴细胞的早期分化中表现出缺陷，并且在怀孕期间未能形成小叶-肺泡乳腺结构。该基因可能在恶性肿瘤体液性高钙血症的骨吸收增强中起重要作用。</w:t>
      </w:r>
    </w:p>
    <w:p w14:paraId="6207BD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0FE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7EF4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CFD0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9DB7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201F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709F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A9CF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CE17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6AF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D52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40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054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0C5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36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209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20F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9BE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2E4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F0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39D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698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2EC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227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6D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98B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A6A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20A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E8B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B1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A9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B66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D52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B10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398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2D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EC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9A0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56F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6A1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8D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7AF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B73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0FB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033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1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5159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5FF7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9E2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D5F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BF5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6A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9929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0F49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BF7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6FC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6E5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B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75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B83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7FE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7F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F2F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1E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4CA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A63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C68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651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C5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17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1D7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C76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FBF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C3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40BF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BE2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4C5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FD8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1B91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20F9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75F6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4506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713A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B419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A97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56BD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D495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E673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9C4D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98A8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3E73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5F81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7E2C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4F33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9AB5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9F01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FE16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E83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1B79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345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1C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BC1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814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798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8D5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A50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069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567D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A35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C3A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C09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D11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8DE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81E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E1AA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EFA3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2688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A07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AF4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64C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EF9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2B5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769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CBE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5A2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454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F67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AD6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0BF5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3A8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063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8CC6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5A4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BECF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9E46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81B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8851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6716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4610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4868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B610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9973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3D8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79F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585B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E938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0535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10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A6FD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8B52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81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DE38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8162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9A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3A26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1A28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9A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97F0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B89D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D26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840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F99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BD2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82D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63E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8B4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88B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059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20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CF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5C6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D3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FE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409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81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54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7A7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3F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A7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F47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87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B0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B14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04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12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DFF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7D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15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75D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25A8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50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F2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BCC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1F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86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B0E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60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6F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A14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17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D3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231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32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8C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794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29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DC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EFC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D4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31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773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2B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D0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12E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E9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1F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BE9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51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01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3B6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2F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5F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3A2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A8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81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D50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A389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8A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C11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E0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32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9A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0D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AB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60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1CA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BD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B65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851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83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6D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60B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B1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794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208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7F88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45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D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CB6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E5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7D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82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3A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9C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BC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E6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D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FBE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17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14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65D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33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9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27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AF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56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36F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9B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0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C7C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AE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37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41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17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A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B2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FA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9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270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1A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46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F33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5E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51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550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13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CD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36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2737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9E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8B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F20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23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F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DBD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91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81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91F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A1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FA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B9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FF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5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66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34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C5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168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CB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4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D4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34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7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EC5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3B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B8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F9E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DA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E3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1E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0E61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91C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2E9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AE5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B4D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9CB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E0C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097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FC1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E0E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9D4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163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BAB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B38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FB1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CE0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DAE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F31D3E">
      <w:pPr>
        <w:rPr>
          <w:rFonts w:hint="default" w:ascii="Times New Roman" w:hAnsi="Times New Roman" w:cs="Times New Roman"/>
          <w:sz w:val="22"/>
          <w:szCs w:val="22"/>
        </w:rPr>
      </w:pPr>
    </w:p>
    <w:p w14:paraId="3F2C1E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4268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sRANK Ligand/TNFSF11/TRANCE Elisa Kit</w:t>
      </w:r>
    </w:p>
    <w:p w14:paraId="3B57FD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C965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00BA0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AB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365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27F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743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018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C3F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FB9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DBF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619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84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893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B1D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E12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AF2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6DE0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360F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77E3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3C5E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E4E3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B25F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0FB5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C033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9C9A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440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D859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 This gene may play an important role in enhanced bone-resorption in humoral hypercalcemia of malignancy.</w:t>
      </w:r>
    </w:p>
    <w:p w14:paraId="2946AD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7683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ED04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462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6F6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38A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4F2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349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25C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C526FC">
      <w:pPr>
        <w:rPr>
          <w:rFonts w:hint="default" w:ascii="Times New Roman" w:hAnsi="Times New Roman" w:cs="Times New Roman"/>
          <w:b/>
          <w:bCs/>
          <w:sz w:val="28"/>
          <w:szCs w:val="28"/>
        </w:rPr>
      </w:pPr>
    </w:p>
    <w:p w14:paraId="399C04B7">
      <w:pPr>
        <w:rPr>
          <w:rFonts w:hint="default" w:ascii="Times New Roman" w:hAnsi="Times New Roman" w:cs="Times New Roman"/>
          <w:b/>
          <w:bCs/>
          <w:sz w:val="28"/>
          <w:szCs w:val="28"/>
        </w:rPr>
      </w:pPr>
    </w:p>
    <w:p w14:paraId="3260E189">
      <w:pPr>
        <w:rPr>
          <w:rFonts w:hint="default" w:ascii="Times New Roman" w:hAnsi="Times New Roman" w:cs="Times New Roman"/>
          <w:b/>
          <w:bCs/>
          <w:sz w:val="28"/>
          <w:szCs w:val="28"/>
        </w:rPr>
      </w:pPr>
    </w:p>
    <w:p w14:paraId="21449EC1">
      <w:pPr>
        <w:rPr>
          <w:rFonts w:hint="default" w:ascii="Times New Roman" w:hAnsi="Times New Roman" w:cs="Times New Roman"/>
          <w:b/>
          <w:bCs/>
          <w:sz w:val="28"/>
          <w:szCs w:val="28"/>
        </w:rPr>
      </w:pPr>
    </w:p>
    <w:p w14:paraId="589ED0C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847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99EF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9AA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47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F883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671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11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7D8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201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B50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B0D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02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7A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330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D7B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B87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5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24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7B8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FEC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8AD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A0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835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C74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996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1A2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63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FA8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910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5EE0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7BD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B1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741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E38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1CF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71A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3C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5FA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F68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3060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584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A9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E95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6C3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29C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806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B3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AB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1A5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CCC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CDE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36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C9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0FA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193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FE7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B0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6F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18B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BAF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2EF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2F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4C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926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FFF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7DF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89F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E95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F86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3AA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12B4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0BD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23A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CBA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FFD5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63AC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132D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D247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C072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2657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47C6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2376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4F0E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318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17E2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4ED0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B50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E9E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130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938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489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24A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727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4FD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630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A59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C9E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5A8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39B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92E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CEF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B3B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900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E91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B92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93A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F54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0E9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543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7D0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05D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79B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A70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DE1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9E9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31F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C3D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398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A90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DE7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EDE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05A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BFA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436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B50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F31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10B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192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C6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CC2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8AC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8BB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0FBE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7896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708D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112B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8C7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AFCC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C972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7C46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9ECF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4C3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E4D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35E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E6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CFD0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B84A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D7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82C8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3ECD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23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71B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BDD4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EF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6720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1041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F3A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C0B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99F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03C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E76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8E6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9A1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56F8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442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EB06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1D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585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006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E8B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C9C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70AA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06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B31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9F60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18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43D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4F98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F0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4DB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1EAD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0D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8C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F48E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6B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E3E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C8E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A3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CD0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86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0B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6E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7BC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87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C2F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F2E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9D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C6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68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8D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D2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D9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FB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5F9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B39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32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6C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6A4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F7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C7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627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DE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B76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C1C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13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562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0F3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2F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3D2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7E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72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05D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F6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B1A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71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5C1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1EB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E0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2A2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8D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05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2858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068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0F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39E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915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92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231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E26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6E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FB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BD4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FC1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76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F23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A58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0E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9F3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E12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60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C5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85F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5F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CFE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FD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6B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F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B30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1A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C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B1A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BA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B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B27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F0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C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3C9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FC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F8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5D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99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8A3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39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76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E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8D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97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16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E29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5B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6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94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86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05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C6A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13A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88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A7B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AB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B2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5AD9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FE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52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CB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7FC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DD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6F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EB3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3E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021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480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76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8F1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E3E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0D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73AB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732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04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009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A5E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1B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82F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8FD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2E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90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E6C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CD6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241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11D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D45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6D7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334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A76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8ED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18C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76E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164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B80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2BD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107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1C9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D96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9BC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76A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353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C353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2ACB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72E0CF">
    <w:pPr>
      <w:pStyle w:val="6"/>
      <w:jc w:val="both"/>
    </w:pPr>
  </w:p>
  <w:p w14:paraId="7593B3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8EE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B731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B22FA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11244</Words>
  <Characters>31703</Characters>
  <Lines>251</Lines>
  <Paragraphs>70</Paragraphs>
  <TotalTime>0</TotalTime>
  <ScaleCrop>false</ScaleCrop>
  <LinksUpToDate>false</LinksUpToDate>
  <CharactersWithSpaces>36028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2026-03-19T02:53:54Z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