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Renin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作为肾素和肾素原细胞受体发挥作用。可能通过激活ERK1和ERK2来介导肾素依赖性细胞反应。通过增加肾素在AGT/血管紧张素原转化为血管紧张素I中的催化效率，它也可能在肾素-血管紧张素系统中发挥作用。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Renin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Functions as a renin and prorenin cellular receptor. May mediate renin-dependent cellular responses by activating ERK1 and ERK2. By increasing the catalytic efficiency of renin in AGT/angiotensinogen conversion to angiotensin I, it may also play a role in the renin-angiotensin system.</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