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MRP4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多药耐药相关蛋白4(MRP4)可利用三磷酸腺苷水解的能量逆浓度梯度主动转出细胞内cAMP，对细胞内cAMP水平具有重要调节作用 [3]。因此，MRP4可能在脓毒症时血管内皮屏障功能障碍发生发展中具有重要作用，然而目前国内外尚未见相关研究报道。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MRP4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Multidrug resistance associated protein 4 (MRP4) can actively transfer out intracellular cAMP by using the energy reverse concentration gradient of ATP hydrolysis, which plays an important role in regulating the level of intracellular cAMP [3]. Therefore, MRP4 may play an important role in the development of vascular endothelial barrier dysfunction in sepsis. However, there is no relevant research report at home and abroad.</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