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283B0A">
      <w:pPr>
        <w:pStyle w:val="2"/>
        <w:bidi w:val="0"/>
        <w:jc w:val="center"/>
        <w:rPr>
          <w:rFonts w:hint="default" w:ascii="Times New Roman" w:hAnsi="Times New Roman" w:cs="Times New Roman"/>
          <w:b/>
          <w:bCs w:val="0"/>
          <w:sz w:val="36"/>
          <w:szCs w:val="36"/>
        </w:rPr>
      </w:pPr>
      <w:r>
        <w:rPr>
          <w:rFonts w:hint="eastAsia"/>
          <w:b/>
          <w:bCs/>
          <w:sz w:val="36"/>
          <w:szCs w:val="36"/>
        </w:rPr>
        <w:t>Mouse IL-15RA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7A7C1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1622EDA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＜22.73pg/ml</w:t>
      </w:r>
    </w:p>
    <w:p w14:paraId="61BECE7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3B3B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06D63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A7547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52FEE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E3E1A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56D74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F3033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B940D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6016F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420C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E1688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0D9DCC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460D6F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5A6F3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4A8A1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D26B8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48E68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7457C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2D6E82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D956CC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71DBBA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06E976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3DE0F3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948F53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91AEB5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IL）-15是一种能够刺激Th1和/或Th2淋巴细胞增殖活性的细胞因子。IL-15是一种新型细胞因子，其对T细胞活化和增殖的影响与白细胞介素-2（IL-2）相似，可能是因为IL-15利用了IL-2受体的β链和γ链。IL-15在急性和慢性排斥反应的发生和转归中发挥作用。因此，抗IL-15治疗与经典免疫抑制治疗相结合可能有助于预防急性，尤其是慢性同种异体移植排斥反应。</w:t>
      </w:r>
    </w:p>
    <w:p w14:paraId="0F607A0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87C2948">
      <w:pPr>
        <w:ind w:firstLine="441" w:firstLineChars="0"/>
        <w:rPr>
          <w:rFonts w:hint="default" w:ascii="Times New Roman" w:hAnsi="Times New Roman" w:cs="Times New Roman"/>
        </w:rPr>
      </w:pPr>
    </w:p>
    <w:p w14:paraId="627F4C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2F19F1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B9ADC9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E07406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9CAB5B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E041C3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201664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27CA16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D44DF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A789F2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54B1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72753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F5D6F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3887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9DEB2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C0E74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34732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C92A2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A2BD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1B34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00711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BD59D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DF953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1935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700B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0F081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A8569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E20A0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BA2D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37A9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06CB7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F8921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473A1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B3E26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A1E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FA90A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0C4DA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8855B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AAD8E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0F2F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3E7FA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27C1A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14D5F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98248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C0E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D262C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76DBE5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E4E57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8081E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E8DC5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04CB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55610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7865CF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D9678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7EC08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058A6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893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7301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83507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AF215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945F3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E59AD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4E3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EC94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06149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0DE82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D885F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2DCF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8CB9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5514B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743A0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362BA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C958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C0D0E6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B2FE0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36654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7F80C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11E0ED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FDDDB4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FAF1C4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CDD382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CDF7D0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3B71E9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1FD8D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FA811E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5396F6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46F6AC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0A546C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83B516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F9AC4D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9A7D91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962D1E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7DF43F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5C0366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D230F5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93DA5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E9521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D002BF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A7DF7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F503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AC25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96670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19E45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23900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38DD7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E527A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26F793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6D7E3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3C721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B9EAB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EBC07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A6A0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AAABA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D9F41B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BF2ABF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9F726B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4E68C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BB175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44EFF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049FF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57696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F3A23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9ACA2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A8A71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6E17D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3241C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8BC80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BE61ED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2BFD9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62085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8BD5F1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1163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0690E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56F419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A403D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541CD3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38C2C8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CCA988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FB370A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87F5F8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AA7A99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72739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4C707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9817F3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6BA793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D318BF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F200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3CCF83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CE9815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5A48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ACDCB2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743052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7D1F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E73683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3C055E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B7C9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ABADD2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BFAE0E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08EE0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97DFE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4D302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8AD73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4D119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4B5A0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B558E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30ACA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43779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601A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85BA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A7061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7208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683B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A00B4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8F47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8096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DD4DC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68C1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8BA8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734B3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C9B9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6E32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BAF58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427F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21C4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BDBC0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4CF0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3A86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935A9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277EA8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1F68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ECEB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DB706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6342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A08A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922C2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DA1F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3B8B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75C75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034E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8EAD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39A74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5B33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1FE1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7266B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07E8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3F4D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BC2C1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53C3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4377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9288C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1022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98AD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8B0DE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D09F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14DD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CF241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CBEC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3471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6E9EB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F64D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38F4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ABA59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6B42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997E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24C1E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E6515B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516C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D25A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9F62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2727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FE13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62BA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5788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5F8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2280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5F19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9C0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7EAC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BE0E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CF4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DF0F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82CC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11B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CD06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60DA2A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0363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BD8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478D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2AC6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2AE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2FB9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7E40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32B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E8C2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BBDC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3DE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F7CB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92FC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A34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8B2A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5B25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B08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C9E6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9CFE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2A0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4EDE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5D83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74D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4621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1135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6E0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4B6D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186A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6A7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8330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59C4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D18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B18F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A116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B0D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C794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E5B4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73E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EFD7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F679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249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380B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27F60F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B5E3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E60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23B9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CA96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BC1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BFAB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2750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31D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C731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4BB7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CC6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F40C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6DB2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132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93F3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A00D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92D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FF00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B60D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F87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9079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E1E5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F02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AA42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729B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B94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8EEB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7334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B71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6326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63FB6E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536A1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50903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0A849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7E17E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13B2A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09979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39B4B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68DE1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06D4B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D342F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56226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903A6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A0034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92ED9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1B8B1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BDB58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D8B31B7">
      <w:pPr>
        <w:rPr>
          <w:rFonts w:hint="default" w:ascii="Times New Roman" w:hAnsi="Times New Roman" w:cs="Times New Roman"/>
          <w:sz w:val="22"/>
          <w:szCs w:val="22"/>
        </w:rPr>
      </w:pPr>
    </w:p>
    <w:p w14:paraId="68171F3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2A6CB9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IL-15RA Elisa Kit</w:t>
      </w:r>
    </w:p>
    <w:p w14:paraId="37708A6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68EEA0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381470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62DA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B91C7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B5AE8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4E96E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D6375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2AC21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826A8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A0922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7D552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03D4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CD198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38D881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4299F1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E2695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362B8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A10DB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429806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4CA382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7E8A4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E4459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4CE0E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5F80C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A145C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9DEED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4772C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IL-15RA is a cytokine with the ability to stimulate the proliferation activity of Th1 and/or Th2 lymphocytes. IL-15 is a novel cytokine whose effects on T-cell activation and proliferation are similar to those of interleukin-2(IL-2), presumably because IL-15 utilizes the beta and gamma chains of the IL-2 receptor. IL-15 can play a role in the initiation and outcome of acute and chronic rejection. Anti-IL-15 therapy in combination with classic immunosuppression therapy might thus be beneficial in the prevention of acute, and especially chronic, allograft rejection. </w:t>
      </w:r>
    </w:p>
    <w:p w14:paraId="2982BD8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2708AD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5E6840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AC70A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9CE3F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E9D1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051B8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F322F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75E2C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A652B64">
      <w:pPr>
        <w:rPr>
          <w:rFonts w:hint="default" w:ascii="Times New Roman" w:hAnsi="Times New Roman" w:cs="Times New Roman"/>
          <w:b/>
          <w:bCs/>
          <w:sz w:val="28"/>
          <w:szCs w:val="28"/>
        </w:rPr>
      </w:pPr>
    </w:p>
    <w:p w14:paraId="1040DB68">
      <w:pPr>
        <w:rPr>
          <w:rFonts w:hint="default" w:ascii="Times New Roman" w:hAnsi="Times New Roman" w:cs="Times New Roman"/>
          <w:b/>
          <w:bCs/>
          <w:sz w:val="28"/>
          <w:szCs w:val="28"/>
        </w:rPr>
      </w:pPr>
    </w:p>
    <w:p w14:paraId="3B34ACDB">
      <w:pPr>
        <w:rPr>
          <w:rFonts w:hint="default" w:ascii="Times New Roman" w:hAnsi="Times New Roman" w:cs="Times New Roman"/>
          <w:b/>
          <w:bCs/>
          <w:sz w:val="28"/>
          <w:szCs w:val="28"/>
        </w:rPr>
      </w:pPr>
    </w:p>
    <w:p w14:paraId="28829BE5">
      <w:pPr>
        <w:rPr>
          <w:rFonts w:hint="default" w:ascii="Times New Roman" w:hAnsi="Times New Roman" w:cs="Times New Roman"/>
          <w:b/>
          <w:bCs/>
          <w:sz w:val="28"/>
          <w:szCs w:val="28"/>
        </w:rPr>
      </w:pPr>
    </w:p>
    <w:p w14:paraId="2DDB980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EAB19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A66111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D0D83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10D2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63A96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B7A77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90E0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3C385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75D92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0BB80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51160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27CA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AACC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DBDD5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2BA35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419A6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6498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48FA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4BBAF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BED67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8DC06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9546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8DB9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23F25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BC7EB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C9B1E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0C60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D586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22383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E7B71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65B2C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2AF4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F2A6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3DD34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44CBB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7F154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4DD4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6BD5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72F05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06E98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8452B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7519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F470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76AF5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97F5F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258E3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FB69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4B88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85C82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47937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79D4D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A1E1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6BDE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82BD2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672B5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795E7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4779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1D9F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BE55B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DCD28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4150E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3DA1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A505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CE291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5F360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69080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3157E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353F5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72533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E0B30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3E4C5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C3726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5C1A4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68EA6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90871A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28048E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3D3B4E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7792B0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241745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D26D8B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675438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D30C56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A2F2F5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01083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A3DCE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F2637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77B0E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B10C5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E9239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63E41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951CE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AF572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7843B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9D864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CDB97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8E5E9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3E0EB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81C33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F6860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DC64C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0A2C4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C77E5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BAD5A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78B19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8A215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AC1B9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6B231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DE239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6A865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A2BEF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690E3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31D68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7F2EE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2EC9F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32788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288DD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F3365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EAF52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2A18F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2552F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0CE68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D6DC9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5122B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10D81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CBD92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A3ACD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07771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82EF6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D34B6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397CA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7C756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3ECCC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6FA39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697E3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35EEF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1DA3C0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66271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80E47F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6249DF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D5AE39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D20A9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308C1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2F093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D8CD3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5A67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3CEF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C1465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4CED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CA73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49F14A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2153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49D8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76320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616A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50D5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0BD9A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70345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E8A36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0194A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B453B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1809E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106D1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3B377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37773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99FC9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63416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1D4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F778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26F4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991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726F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71C222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F64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7BE5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62B08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C42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FC92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196C5B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56E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37BD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55C14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E91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6EBB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6040E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08B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7A9F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DAC56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B37F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24A8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1D22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AB6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F74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72AA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8ADA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11A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4900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F491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936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40F7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A04B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3586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2C17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96A5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3EE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DFF9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E59B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A9B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C8D8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F555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A21F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6F02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EEDE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545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03AA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448E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E21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99F1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44C3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76D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F3CC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B4F2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598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3A25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FB32C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4887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9B2D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C552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F3C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C8D6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009F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61B5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D14FAC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05F9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95F9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BDD7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818B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C6E2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0B2B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5855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F153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1147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FB15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7A7EE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BB30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3796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55C4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465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DE33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881B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4D45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2E2D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9734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EF24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6224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E2E8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BA9B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B19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D4E0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9E96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06E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5583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5F47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1A3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AA32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881A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201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568D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FB9F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404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C67B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8565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057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005A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FA94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1ED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57DB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43AD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463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DA61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BB1F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C9D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800D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C8EC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A39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DB0F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5EEB2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7948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83DF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100E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8F80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F9E307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7514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7E7E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B649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63EC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9C15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5DEE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4C89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D93B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AE65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815A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9AA2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7038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2485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EFD8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4D4FA6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E602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BB70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433A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0232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6DEA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39EB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C2D1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C8E3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A77E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FF2C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3EEC5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6F9A8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C39E2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F1DCB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DA0BC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272B7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A1219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C82AC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D6B68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F651B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AF538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A507A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A16DF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E48CD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F6A49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7367E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CFBB8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EF63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A947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45A947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0B7C8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C0CE9E1">
    <w:pPr>
      <w:pStyle w:val="6"/>
      <w:jc w:val="both"/>
    </w:pPr>
  </w:p>
  <w:p w14:paraId="3C6B212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F7D5E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26228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6C83212"/>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7771</Words>
  <Characters>13581</Characters>
  <Lines>251</Lines>
  <Paragraphs>70</Paragraphs>
  <TotalTime>0</TotalTime>
  <ScaleCrop>false</ScaleCrop>
  <LinksUpToDate>false</LinksUpToDate>
  <CharactersWithSpaces>14652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2026-03-06T09:11:41Z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