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PI3K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PI3K本身具有丝氨酸/苏氨酸(Ser/Thr)激酶的活性，也具有磷脂酰肌醇激酶的活性。PI3K可分为3类，其结构与功能各异。其中研究最广泛的为I类PI3K, 此类PI3K为异源二聚体，由一个调节亚基和一个催化亚基组成。调节亚基含有SH2和SH3结构域，与含有相应结合位点的靶蛋白相作用。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PI3K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PI3K itself has the activity of serine / threonine (Ser / Thr) kinase and phosphatidylinositol kinase. PI3K can be divided into three categories with different structures and functions. Among them, the most widely studied is class I PI3K, which is a heterodimer composed of a regulatory subunit and a catalytic subunit. The regulatory subunit contains SH2 and SH3 domains and interacts with target proteins containing corresponding binding sites.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