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4ABDF">
      <w:pPr>
        <w:pStyle w:val="2"/>
        <w:bidi w:val="0"/>
        <w:jc w:val="center"/>
        <w:rPr>
          <w:rFonts w:hint="default" w:ascii="Times New Roman" w:hAnsi="Times New Roman" w:cs="Times New Roman"/>
          <w:b/>
          <w:bCs w:val="0"/>
          <w:sz w:val="36"/>
          <w:szCs w:val="36"/>
        </w:rPr>
      </w:pPr>
      <w:r>
        <w:rPr>
          <w:rFonts w:hint="eastAsia"/>
          <w:b/>
          <w:bCs/>
          <w:sz w:val="36"/>
          <w:szCs w:val="36"/>
        </w:rPr>
        <w:t>Human sRANK Ligand/TNFSF11/TRANCE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397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CAAEC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5EA0B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BB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EE5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327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A05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538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B42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A7C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19A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E36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5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BB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B93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01F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AF6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A25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441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CA9D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992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A4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D824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E6C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DA0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3E9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6FDC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E8C2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在小鼠中靶向破坏相关基因导致严重的骨质疏松症和破骨细胞的缺乏。缺陷小鼠在T和B淋巴细胞的早期分化中表现出缺陷，并且在怀孕期间未能形成小叶-肺泡乳腺结构。该基因可能在恶性肿瘤体液性高钙血症的骨吸收增强中起重要作用。</w:t>
      </w:r>
    </w:p>
    <w:p w14:paraId="2CC9B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18D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A3D5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A7B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6508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D3B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E3EF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8D35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0516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EB9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68C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29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FCF6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057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BE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C29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315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10E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E6E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8C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32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952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6C8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00F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D7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B46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ACF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58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AD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71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3A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EB0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DD8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E6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D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3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EB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718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897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BAF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1F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AA2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D1F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D6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EC0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A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72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D72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AAD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C90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E39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A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56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C5C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514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C2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BE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A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05A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5A2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641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99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D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5F9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6F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8D3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8E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A5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50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416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6B1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96E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BF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DDFC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FE7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D89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5E0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B450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3E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FEB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CFB9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0C04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B42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A6C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43A8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E27E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C2F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A3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423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B9A3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0C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E5FD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34AD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978C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FEE5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5EC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2BB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6007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93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A1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A5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1D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A52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337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E55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E8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ACB3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9E9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7E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F5F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E9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FBE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DA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8D7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6BBA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E0CD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700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EB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B8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99E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94F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29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325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4EC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D4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5BD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F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BC1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6E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AAB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DEB4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A3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1C9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2CE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8EE8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1348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429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AFB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32A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BDF9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AC5E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07F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867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7498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89E0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A94A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FB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1C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E747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52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561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2A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39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2111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876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40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919E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809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F1B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9D5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E8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3A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8FD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B5F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442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35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3C4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E9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0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21D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A0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0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FB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15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1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8CB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F8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6E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9CB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2B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3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F4E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F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3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ABD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77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8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3A3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8004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88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69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97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B5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4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142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9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E4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F14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EE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27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75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4A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FE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59F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E4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47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EBE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B6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FD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BDB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20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D10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374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53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7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D15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26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44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037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F5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A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E6B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0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DB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E2F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59E1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A8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FA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7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0C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B76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03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AA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2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59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D8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8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28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93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0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54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DB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5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72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4DE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9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F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74D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1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C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E3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67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6D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B0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B4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1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49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7B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7E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B2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F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5E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B5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F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B4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B6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D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62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FE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E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0A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AD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4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C9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8F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3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CC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3A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8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44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E7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4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39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00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D1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AC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005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40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E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B5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1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F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B3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9B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A5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43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07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7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94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85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3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7A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CB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F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42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9F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00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74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50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4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95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71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B6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08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2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6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3F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97C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A4D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A75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5E7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44B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4B7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D85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B62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006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80D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0AA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409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E45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754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168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CBF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B52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F2674B">
      <w:pPr>
        <w:rPr>
          <w:rFonts w:hint="default" w:ascii="Times New Roman" w:hAnsi="Times New Roman" w:cs="Times New Roman"/>
          <w:sz w:val="22"/>
          <w:szCs w:val="22"/>
        </w:rPr>
      </w:pPr>
    </w:p>
    <w:p w14:paraId="51A31D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6D15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sRANK Ligand/TNFSF11/TRANCE Elisa Kit</w:t>
      </w:r>
    </w:p>
    <w:p w14:paraId="01BCF4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61ED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235C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41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7B0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E41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89B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CE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B51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F17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88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4C9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CA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93B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0B4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E20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28E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6C9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D5B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68F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549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166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089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220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AF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E38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9E3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B3D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Targeted disruption of the related gene in mice led to severe osteopetrosis and a lack of osteoclasts. The deficient mice exhibited defects in early differentiation of T and B lymphocytes, and failed to form lobulo-alveolar mammary structures during pregnancy. This gene may play an important role in enhanced bone-resorption in humoral hypercalcemia of malignancy.</w:t>
      </w:r>
      <w:bookmarkEnd w:id="0"/>
    </w:p>
    <w:p w14:paraId="79C569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84C0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0309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21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63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4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D5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35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685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485D5A">
      <w:pPr>
        <w:rPr>
          <w:rFonts w:hint="default" w:ascii="Times New Roman" w:hAnsi="Times New Roman" w:cs="Times New Roman"/>
          <w:b/>
          <w:bCs/>
          <w:sz w:val="28"/>
          <w:szCs w:val="28"/>
        </w:rPr>
      </w:pPr>
    </w:p>
    <w:p w14:paraId="4F79E6E3">
      <w:pPr>
        <w:rPr>
          <w:rFonts w:hint="default" w:ascii="Times New Roman" w:hAnsi="Times New Roman" w:cs="Times New Roman"/>
          <w:b/>
          <w:bCs/>
          <w:sz w:val="28"/>
          <w:szCs w:val="28"/>
        </w:rPr>
      </w:pPr>
    </w:p>
    <w:p w14:paraId="2E9FB84F">
      <w:pPr>
        <w:rPr>
          <w:rFonts w:hint="default" w:ascii="Times New Roman" w:hAnsi="Times New Roman" w:cs="Times New Roman"/>
          <w:b/>
          <w:bCs/>
          <w:sz w:val="28"/>
          <w:szCs w:val="28"/>
        </w:rPr>
      </w:pPr>
    </w:p>
    <w:p w14:paraId="2C7C806E">
      <w:pPr>
        <w:rPr>
          <w:rFonts w:hint="default" w:ascii="Times New Roman" w:hAnsi="Times New Roman" w:cs="Times New Roman"/>
          <w:b/>
          <w:bCs/>
          <w:sz w:val="28"/>
          <w:szCs w:val="28"/>
        </w:rPr>
      </w:pPr>
    </w:p>
    <w:p w14:paraId="76B3CA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69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B14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FA0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D5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749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F5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B4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E0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E57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92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84C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A0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2A1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77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71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63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3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3EE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2D0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9AE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7E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E2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9A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47E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B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8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C3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992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F4D1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52F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41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7B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4FD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AF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96A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4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5E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6AC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3C0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EF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2A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D9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44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8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046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12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4D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B8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4B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286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FE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CC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41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607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1EA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B5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D8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4C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DC3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BC6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84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3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6EB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F02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9D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C8C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11E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74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AF7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054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DF2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72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3B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82B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1C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9534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2202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63CC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BCD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730B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97EC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072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EB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9C5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A91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957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6AC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550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F0D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2BF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EA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9A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DD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85E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F8E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353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90B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97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ECF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874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DE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53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21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D2F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2A0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271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98B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FE6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BC8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7A4D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3D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91B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28B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04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0F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423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AD3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43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184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A1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5F5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691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9CE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195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1C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206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6B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42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113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083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4A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111F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204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1C5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4A4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C34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3FD9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AE3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84C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012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2F3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6E0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E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DA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E0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0DF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8F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44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29B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87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0C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705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55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C2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C4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07F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CB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6A7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D2E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C7C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323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A98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3FE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E3D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5CF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8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D1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9D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C8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6C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DB5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72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2A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7DD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6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20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B84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1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96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227E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7A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41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D9A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4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A4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0CA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8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FC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BE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0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1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3F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B2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F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6A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EC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6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CB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CF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C3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F7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22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E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42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B4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17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1D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CB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8CA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07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E8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2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00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97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4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DD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7A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8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EE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DA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EC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D0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26F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E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EB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B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2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A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40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D8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3DAE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D3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F9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4D5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38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09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C9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13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A6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B0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05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0C2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4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91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3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6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A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19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95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14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9C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69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B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E7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4B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E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3B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6F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E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B6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F7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7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5B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68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D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C1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80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2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E3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9E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A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45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B7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C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60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C7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F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12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49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C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C6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C8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2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98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61D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68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95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FE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53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BF63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28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18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4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CF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D2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6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57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35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851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8E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3D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3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5B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01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D00C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BD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68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9B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D0A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44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1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A2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33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20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14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393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B7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C91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E68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64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57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64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0C7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B0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38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25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27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27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3E9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63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8D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48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0E2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EB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3EB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80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50B015">
    <w:pPr>
      <w:pStyle w:val="6"/>
      <w:jc w:val="both"/>
    </w:pPr>
  </w:p>
  <w:p w14:paraId="758143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C5A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C84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8A2160"/>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9508</Words>
  <Characters>22058</Characters>
  <Lines>251</Lines>
  <Paragraphs>70</Paragraphs>
  <TotalTime>1</TotalTime>
  <ScaleCrop>false</ScaleCrop>
  <LinksUpToDate>false</LinksUpToDate>
  <CharactersWithSpaces>24765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