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4DC96E">
      <w:pPr>
        <w:pStyle w:val="2"/>
        <w:bidi w:val="0"/>
        <w:jc w:val="center"/>
        <w:rPr>
          <w:rFonts w:hint="default" w:ascii="Times New Roman" w:hAnsi="Times New Roman" w:cs="Times New Roman"/>
          <w:b/>
          <w:bCs w:val="0"/>
          <w:sz w:val="36"/>
          <w:szCs w:val="36"/>
        </w:rPr>
      </w:pPr>
      <w:r>
        <w:rPr>
          <w:rFonts w:hint="eastAsia"/>
          <w:b/>
          <w:bCs/>
          <w:sz w:val="36"/>
          <w:szCs w:val="36"/>
        </w:rPr>
        <w:t>Mouse DCR3/TNFRSF6B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E729E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72A3CE4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3002FD1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8B6D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48889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51272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BF40A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654EC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5F1CF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E4A9D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C439B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75180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0E23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315C0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ECB57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66264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58FEB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4C88C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08018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2C8F7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514B5F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554131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BDC5C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9858A6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7151C6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21255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8D51EA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E42336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诱饵受体3（Dcr3），也称为肿瘤坏死因子受体超家族成员6B（TNFRSF6B）、TR6和M68，是肿瘤坏死因子受体超家族的可溶性蛋白，可抑制Fas配体诱导的下垂。该基因属于肿瘤坏死因子受体超家族。它作为诱饵受体，与死亡受体竞争配体结合。据推测，编码的蛋白质在抑制FasL和光介导的细胞死亡和T细胞活化以及通过TL1A中和诱导血管生成中起调节作用。该基因在各种肿瘤（如胃肠道肿瘤）中过度表达，与其他潜在的肿瘤相关基因一起位于20号染色体上一个基因丰富的簇中。</w:t>
      </w:r>
    </w:p>
    <w:p w14:paraId="384E6C2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63BBA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A94D93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C9DFEE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B64407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6A107D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F80595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38C5E4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763631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8473A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007A0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92ED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59D72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BFD91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55B8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B2687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709F1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6DEA9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F7EFD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E4CE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0D83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37629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49308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F05EB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2F5E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91F9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D7CB2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8D4CE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69780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0DB8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4F96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633D9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0EB12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35F79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3C0A4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B44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C371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F8CD0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DC60F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4E1DA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6CE0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BBB48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F3AAB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B8FFD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F2AE5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A03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3DE0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F8961F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14F8A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D6FC5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AA1A2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FD05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329B6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BB5DD3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38425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22F73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E9BF1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630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E52C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860C3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D1968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E0F95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5431B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400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6D62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1B163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5FC2E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E9FDA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DA43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CF32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70B36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87087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F907D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853B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717C80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9F80B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14FFA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E747C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38D1E9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80B79D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70DDE9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4EF4E5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41B0D3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DBCB0C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D0729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E93AA1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42C928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766DAF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CD573A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80C8C3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8844C9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2A3585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A97FE4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39F3D6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5A435B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0F20D7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7C4CD7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69379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518E33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02BF9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A0CE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2C1DA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55610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200F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6231B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8D3C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DF1B7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8986A3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22613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E74B8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90154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96B5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A621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980D4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E954C1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B8E1BB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BD962B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26BDE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F00A3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2BF13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6037D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70DF9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173D0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A2423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5D142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867F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7F9AA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95302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FD0698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9514D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70A28E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4A729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C1EA0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9D703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6AF44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F5D5E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25B533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7CD44C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F25CD0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719B65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C9125E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656668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3BDD7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344AA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E55FC8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F19B13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5BF8AA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FBC0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4D7C0DB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3D962B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65A4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075137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140DD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B706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D92EC2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06F514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395F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F89B1F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D7C68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DA16E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A5194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B7E8E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ABBFD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04F00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544A9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4F2D7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CB457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448B4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B538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85CE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C8E65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32B5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DA24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829AB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7AE6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26EA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3F6A4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276D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F866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007D6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47D3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EA42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25A19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170A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4612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A0B61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F619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1D3A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AF046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9362CC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E389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8804B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983A6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ABD3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A524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A86CC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E4B2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E694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868FE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396C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6DF7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13633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16A4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8072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51043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650C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77C6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23072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D833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81BB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CE080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A71E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A6FC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02567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D079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CA57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AF6DC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A9D4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BF78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82C0F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881D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1D40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A0F80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0D39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946A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3D9E4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665B3E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608F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A02B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735C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AED0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0D33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0C64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C91D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267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3491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B25B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311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B010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231C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DD5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FD41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C7B5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0A6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0BDD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6C4A7F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D05C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CFD0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21DE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0D09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17F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543E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6FA9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1B0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12EA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D31D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DA65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8621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5430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6F5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B47D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44DE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EBCE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1B47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B5B2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177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351C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F100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BF7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C039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154E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744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04D4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169B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5D5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B1DC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216A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95E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A153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1887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AA1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AF88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6AE0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14B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F068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850B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BF0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0B87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BD259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5C66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50176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27DE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25AF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B6E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B926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5965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603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A8E2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2E5D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6A8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AC2B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61D4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65E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E3A6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B247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94C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B511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1C06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9D1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D654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8902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125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522C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E4F9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EDA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D58B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FD70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D16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7D3C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FB423B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CC906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388D3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D9D13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26E8C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CC98B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3EF43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FFBCD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534DC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DA61E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05486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567F7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5FD0E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88C96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C5E1A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70195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641A3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669F673">
      <w:pPr>
        <w:rPr>
          <w:rFonts w:hint="default" w:ascii="Times New Roman" w:hAnsi="Times New Roman" w:cs="Times New Roman"/>
          <w:sz w:val="22"/>
          <w:szCs w:val="22"/>
        </w:rPr>
      </w:pPr>
    </w:p>
    <w:p w14:paraId="4CB301C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140DCD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DCR3/TNFRSF6B Elisa Kit</w:t>
      </w:r>
    </w:p>
    <w:p w14:paraId="788339E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65173E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33B5FC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2746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A1769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E18BA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0460C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3CB8E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02F62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56A2B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B91DA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84083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4A7B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D0C04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E692B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C9A06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B123F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62309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0D83E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296A2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73F327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C5FE0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EAF71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4ECDE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B89C4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D2B75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639BB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AC3D8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Decoy receptor 3 (Dcr3), also known as tumor necrosis factor receptor superfamily member 6B (TNFRSF6B), TR6 and M68, is a soluble protein of the tumor necrosis factor receptor superfamily which inhibits Fas ligand-inducedapoptosis. This gene belongs to the tumor necrosis factor receptor superfamily. It acts as a decoy receptor that competes with death receptors for ligand binding. The encoded protein is postulated to play a regulatory role in suppressing FasL- and LIGHT-mediated cell death and T cell activation as well as to induce angiogenesis via neutralization of TL1A. Overexpression of this gene has been noted in various tumors e.g. gastrointestinal tract tumors, and it is located in a gene-rich cluster on chromosome 20, with other potentially tumor-related genes.</w:t>
      </w:r>
    </w:p>
    <w:p w14:paraId="0756EF7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ED0DE7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ABA151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F77BD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5E397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99E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2E6E1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B3940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C106D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99248BD">
      <w:pPr>
        <w:rPr>
          <w:rFonts w:hint="default" w:ascii="Times New Roman" w:hAnsi="Times New Roman" w:cs="Times New Roman"/>
          <w:b/>
          <w:bCs/>
          <w:sz w:val="28"/>
          <w:szCs w:val="28"/>
        </w:rPr>
      </w:pPr>
    </w:p>
    <w:p w14:paraId="45129A8F">
      <w:pPr>
        <w:rPr>
          <w:rFonts w:hint="default" w:ascii="Times New Roman" w:hAnsi="Times New Roman" w:cs="Times New Roman"/>
          <w:b/>
          <w:bCs/>
          <w:sz w:val="28"/>
          <w:szCs w:val="28"/>
        </w:rPr>
      </w:pPr>
    </w:p>
    <w:p w14:paraId="55071277">
      <w:pPr>
        <w:rPr>
          <w:rFonts w:hint="default" w:ascii="Times New Roman" w:hAnsi="Times New Roman" w:cs="Times New Roman"/>
          <w:b/>
          <w:bCs/>
          <w:sz w:val="28"/>
          <w:szCs w:val="28"/>
        </w:rPr>
      </w:pPr>
    </w:p>
    <w:p w14:paraId="621B6D2B">
      <w:pPr>
        <w:rPr>
          <w:rFonts w:hint="default" w:ascii="Times New Roman" w:hAnsi="Times New Roman" w:cs="Times New Roman"/>
          <w:b/>
          <w:bCs/>
          <w:sz w:val="28"/>
          <w:szCs w:val="28"/>
        </w:rPr>
      </w:pPr>
    </w:p>
    <w:p w14:paraId="3BF2878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BE46B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71056F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43EE9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A228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06230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5188D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55F5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521D6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27DDA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DA060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40DE6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070A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9BDE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1E20B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677A3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BBD69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B68B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F059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050E8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546C9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2AC58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FC2E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6909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F2040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4DDEB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57569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F344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484E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EE719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A639F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E0A5E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040A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7380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8714A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F69C8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10923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F75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3B4A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6897C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657D7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588CC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120F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20FB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3E915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7007A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6B370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23C2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612F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3D3E4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01F2B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8A83A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43A0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3782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4B358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8E76B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9BE94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472E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A66F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C8E2B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00E72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03DC7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1CFB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4A0B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1AF55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051D6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78156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4CEA9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C85E3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089F3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6D379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ACD21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80792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A0AF6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E490E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13B42B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46BDB6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575E84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D179C5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B9A11B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1B8A0A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BC0EA1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6D9FFA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C66204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403B2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029BF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E2B28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03493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C278A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4F97D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42E91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15F2B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82B18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5C3E3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38CFA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EFFA6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68CB5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3BE42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E7372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43038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EEB9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1E5CE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CBD8C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B531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E7167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DD7C8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FAC00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8868D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2FFDF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CAF39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A7F9C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4B307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85946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57DE1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9AED3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ED2A4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1DC47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2E98B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BED0E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0A125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50C43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B8A5B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9927A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B4AE5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B405B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3AA82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5485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EDAC9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F58E5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24742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69C05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6CB55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A04E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6126B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4A517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02697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F0B1D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A324A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0D3DC3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C07E56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B8CF8F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52BD7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23C63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90349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E4C16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F598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76B9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A2A2A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1849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14A3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01725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3C81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E751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6033B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14B5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E168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42634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5833F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86E18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A0C56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2C9D3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D8926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FB6F1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F71A8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A3E33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7046B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F9A9B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784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117B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218D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447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E527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FB4B2C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C75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BC6E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20404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06C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DF55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7CC1A4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4EE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BE26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AA28B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8D2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BA0E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CD342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360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FBCB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94F31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E1E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EA15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701F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2EF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BDC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0B0D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2E02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5C2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FC7E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477D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8B5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0E09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1EBA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8B42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9AAC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5501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7C1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4C57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B63C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301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4199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AF38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6CF3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FCD1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4455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8E6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B657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C41E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7EA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E9D4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D886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6D8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0F75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AEBE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53D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8949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5F177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DE02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2146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27CC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D48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A75D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9FE1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BCDC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1D91AB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6B6F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0727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12D6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9392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6BDD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EAAF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0B0A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B57D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610F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437D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1C2DC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095A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22F0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724E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6EF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4A68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5054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AD97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D0A6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C42E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1A40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8E43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A9B9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1063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604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5C66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B85D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ADA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2E3A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B85A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748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9CC3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77BD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F30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0936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A142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A9C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35B9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0235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367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0CA9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3795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CEF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A4A0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91C3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36F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4C35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8FC0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5B4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930D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258A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8A7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9037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D7281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E5E4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D032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30CA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38A3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040A3D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8241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2F40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E485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039A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03B4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9C7A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DAC8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3D09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ABC6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A090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2A48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6D8C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61E4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3D14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B3AB2A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D313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AEBF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AF3F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9F4B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4166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91B3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D0E4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CEFA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341A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5DF2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C7EEA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DF09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3EFD3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85ED5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2D40A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15CF5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AB8C9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7BAF4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13EBF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DC34D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A949F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9D155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5489E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BBE58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7E7CE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ADE87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A4F8F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E9056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281A6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7281A6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66F1A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1332C2C">
    <w:pPr>
      <w:pStyle w:val="6"/>
      <w:jc w:val="both"/>
    </w:pPr>
  </w:p>
  <w:p w14:paraId="12E3C12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C5E9B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B691B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8E907A9"/>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8240</Words>
  <Characters>15794</Characters>
  <Lines>251</Lines>
  <Paragraphs>70</Paragraphs>
  <TotalTime>0</TotalTime>
  <ScaleCrop>false</ScaleCrop>
  <LinksUpToDate>false</LinksUpToDate>
  <CharactersWithSpaces>17273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2026-04-02T02:20:04Z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