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rg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毒素和蠕虫毒素。也诱导人嗜碱性粒细胞释放非细胞溶解组胺。参与抗寄生虫防御机制和免疫过敏反应。前体形式作为蛋白酶抑制剂，降低PAPPA的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rg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totoxin and helminthotoxin. Also induces non-cytolytic histamine release from human basophils. Involved in antiparasitic defense mechanisms and immune hypersensitivity reactions. The proform acts as a proteinase inhibitor, reducing the activity of PAPP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