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6B8033">
      <w:pPr>
        <w:pStyle w:val="2"/>
        <w:bidi w:val="0"/>
        <w:jc w:val="center"/>
        <w:rPr>
          <w:rFonts w:hint="default" w:ascii="Times New Roman" w:hAnsi="Times New Roman" w:cs="Times New Roman"/>
          <w:b/>
          <w:bCs w:val="0"/>
          <w:sz w:val="36"/>
          <w:szCs w:val="36"/>
        </w:rPr>
      </w:pPr>
      <w:r>
        <w:rPr>
          <w:rFonts w:hint="eastAsia"/>
          <w:b/>
          <w:bCs/>
          <w:sz w:val="36"/>
          <w:szCs w:val="36"/>
        </w:rPr>
        <w:t>Monkey FGF-21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A8F75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3DDE846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12.5pg/ml</w:t>
      </w:r>
    </w:p>
    <w:p w14:paraId="5D09166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7561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E4BB71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9BA498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A3DBA4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606B26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FAE13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F85F53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9B0C98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CFCBCA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7380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FA3F8B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11ADA4D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AE7A0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CF3659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5760AF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911792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C5C545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361732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EA4824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F34C90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1AB1F2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770DEC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F7B6E3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FF0DBD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1125CB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成纤维细胞生长因子21是一种由FGF21基因编码的蛋白质。通过基因组序列分析，Nishimura et al.（2000）在19号染色体FUT1基因的5-引物侧翼区域内鉴定了FGF21基因。该基因编码的蛋白质是成纤维细胞生长因子（FGF）家族的成员。FGF家族成员具有广泛的有丝分裂和细胞存活活性，参与多种生物学过程，包括胚胎发育、细胞生长、形态发生、组织修复、肿瘤生长和侵袭。FGF21刺激脂肪细胞的葡萄糖摄取，但不刺激其他类型的细胞。这种作用是对胰岛素活性的补充。FGF21对脂肪细胞的治疗与FRS2的磷酸化有关，FRS2是一种连接FGF受体与Ras/MAP激酶途径的蛋白质。在ob/ob小鼠中注射FGF21导致脂肪组织中Glut1的增加。当FGF21在转基因小鼠中过度表达时，它还能保护动物免受饮食诱导的肥胖，并降低糖尿病啮齿动物的血糖和甘油三酯水平。</w:t>
      </w:r>
    </w:p>
    <w:p w14:paraId="0F66B498">
      <w:pPr>
        <w:ind w:firstLine="441" w:firstLineChars="0"/>
        <w:rPr>
          <w:rFonts w:hint="default" w:ascii="Times New Roman" w:hAnsi="Times New Roman" w:cs="Times New Roman"/>
        </w:rPr>
      </w:pPr>
    </w:p>
    <w:p w14:paraId="2A4A93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AF3DB3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745763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C9614E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50DED5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EF37E5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1F163E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BCD5D1E">
      <w:pPr>
        <w:rPr>
          <w:rFonts w:hint="default" w:ascii="Times New Roman" w:hAnsi="Times New Roman" w:cs="Times New Roman"/>
          <w:b/>
          <w:bCs/>
          <w:sz w:val="28"/>
          <w:szCs w:val="28"/>
        </w:rPr>
      </w:pPr>
      <w:bookmarkStart w:id="0" w:name="_GoBack"/>
      <w:bookmarkEnd w:id="0"/>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56252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96F2CE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F6FC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9DBFC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28103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02D1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50100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D052C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A3C2E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7E5A0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5D06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2B95F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069FB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3DD4B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A1C58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487D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24BD9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656C8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8DAA4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FFF0A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B61D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05D9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82ABA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14654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0407E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83527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7FBC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BBA3E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58C42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39F90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96A54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08F9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1BB36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FAB7D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6A883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D593E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BEEE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93E83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B3F1DA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2230E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E18D7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20086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E9EE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18D24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7C5420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F3280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196C4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580C1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47E9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3032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TMB显色液（A/B）</w:t>
            </w:r>
          </w:p>
          <w:p w14:paraId="064496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B713B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B7132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31C53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073F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FE615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34C7A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95F39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91E0A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EE94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EC21F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E5F50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98EA6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0C785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C116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187B29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43B6E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932E9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FEF5F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A8F0F8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14BA1A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C31152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580024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757A50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DA60515">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2A3978">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F52A7BD">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A03C0A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7EE6E2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D07FC6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718434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A9FB47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BF294F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C96F57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E6BB804">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2B24679">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CEC360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F736AD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7C697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008245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7D521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3A79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94534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A9EE1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B3003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9C78F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F9BEC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1F8F0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E4E4B8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84F05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B4DA1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A506C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45589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ECB50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6C7E5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F18D43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B6CF55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3CA2A0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A0725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7A577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1894B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A4127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424C7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D1934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FDA0A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8C7E9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w:t>
      </w:r>
      <w:r>
        <w:rPr>
          <w:rFonts w:hint="eastAsia" w:ascii="Times New Roman" w:hAnsi="Times New Roman" w:cs="Times New Roman"/>
          <w:lang w:val="en-US" w:eastAsia="zh-CN"/>
        </w:rPr>
        <w:t>1</w:t>
      </w:r>
      <w:r>
        <w:rPr>
          <w:rFonts w:hint="default" w:ascii="Times New Roman" w:hAnsi="Times New Roman" w:cs="Times New Roman"/>
        </w:rPr>
        <w:t>混合，避光备用，在储存和显色时均避免强光照射。</w:t>
      </w:r>
    </w:p>
    <w:p w14:paraId="0D47A5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9BDAC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342130" cy="1367790"/>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14:paraId="64B53E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val="en-US" w:eastAsia="zh-CN" w:bidi="ar-SA"/>
        </w:rPr>
      </w:pPr>
      <w:r>
        <w:rPr>
          <w:rFonts w:hint="default" w:ascii="Times New Roman" w:hAnsi="Times New Roman" w:eastAsia="宋体" w:cs="Times New Roman"/>
          <w:b/>
          <w:bCs/>
          <w:sz w:val="28"/>
          <w:szCs w:val="28"/>
          <w:lang w:val="en-US" w:eastAsia="zh-CN" w:bidi="ar-SA"/>
        </w:rPr>
        <w:t>检测流程：</w:t>
      </w:r>
    </w:p>
    <w:p w14:paraId="1F54C61B">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1、加样: 空白</w:t>
      </w:r>
      <w:r>
        <w:rPr>
          <w:rFonts w:hint="eastAsia" w:ascii="Times New Roman" w:hAnsi="Times New Roman" w:cs="Times New Roman"/>
          <w:sz w:val="24"/>
          <w:szCs w:val="24"/>
          <w:lang w:val="en-US" w:eastAsia="zh-CN"/>
        </w:rPr>
        <w:t>孔</w:t>
      </w:r>
      <w:r>
        <w:rPr>
          <w:rFonts w:hint="default" w:ascii="Times New Roman" w:hAnsi="Times New Roman" w:eastAsia="宋体" w:cs="Times New Roman"/>
          <w:sz w:val="24"/>
          <w:szCs w:val="24"/>
          <w:lang w:val="en-US" w:eastAsia="zh-CN"/>
        </w:rPr>
        <w:t>加入50μl标准品/样品稀释液，其余孔各对应加入标准品或待测样品50μl，将酶标板用封板膜封好，轻轻混匀后置37℃，孵育50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 </w:t>
      </w:r>
    </w:p>
    <w:p w14:paraId="48332BC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rPr>
        <w:t>2、洗板: 用洗涤液（1×）将酶标板充分洗涤3次，每孔加入洗涤液300μl，</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81FC9B0">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3、孵育抗体：空白孔加入100μl的抗体稀释液，其余孔各加入检测抗体工作液100μl，将酶标板用封板膜封好，轻轻混匀后置37℃，孵育50分钟。 </w:t>
      </w:r>
    </w:p>
    <w:p w14:paraId="48B6DCF1">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4、洗板: 同上。 </w:t>
      </w:r>
    </w:p>
    <w:p w14:paraId="73153589">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5、孵育SABC：空白孔加入100μl的SABC稀释液，其余孔各加入SABC工作液100μl，将酶标板用封板膜封好，轻轻混匀后置37℃，孵育30分钟。</w:t>
      </w:r>
    </w:p>
    <w:p w14:paraId="4EED4DC5">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6、洗板: 同上。</w:t>
      </w:r>
    </w:p>
    <w:p w14:paraId="3B82EFD4">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7、显色：每孔加入提前配置好的TMB混合液100μl，将酶标板用封板膜封好，轻轻混匀后置37℃，暗处反应8-20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，反应结果为蓝色。 </w:t>
      </w:r>
    </w:p>
    <w:p w14:paraId="40F1EC17">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rPr>
        <w:t>8、终止反应：每孔加入50μl终止液，轻轻混匀，此时蓝色转为黄色，20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内用酶标仪在450nm处测OD值。</w:t>
      </w:r>
      <w:r>
        <w:rPr>
          <w:rFonts w:hint="eastAsia" w:ascii="Times New Roman" w:hAnsi="Times New Roman" w:eastAsia="宋体" w:cs="Times New Roman"/>
          <w:sz w:val="24"/>
          <w:szCs w:val="24"/>
          <w:lang w:val="en-US" w:eastAsia="zh-CN" w:bidi="ar-SA"/>
        </w:rPr>
        <w:t xml:space="preserve"> </w:t>
      </w:r>
    </w:p>
    <w:p w14:paraId="3696FEC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19A4975">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w:t>
      </w:r>
      <w:r>
        <w:rPr>
          <w:rFonts w:hint="eastAsia" w:ascii="Times New Roman" w:hAnsi="Times New Roman" w:cs="Times New Roman"/>
          <w:lang w:eastAsia="zh-CN"/>
        </w:rPr>
        <w:t>“</w:t>
      </w:r>
      <w:r>
        <w:rPr>
          <w:rFonts w:hint="default" w:ascii="Times New Roman" w:hAnsi="Times New Roman" w:cs="Times New Roman"/>
        </w:rPr>
        <w:t>孵育</w:t>
      </w:r>
      <w:r>
        <w:rPr>
          <w:rFonts w:hint="eastAsia" w:ascii="Times New Roman" w:hAnsi="Times New Roman" w:cs="Times New Roman"/>
          <w:lang w:eastAsia="zh-CN"/>
        </w:rPr>
        <w:t>”</w:t>
      </w:r>
      <w:r>
        <w:rPr>
          <w:rFonts w:hint="default" w:ascii="Times New Roman" w:hAnsi="Times New Roman" w:cs="Times New Roman"/>
        </w:rPr>
        <w:t>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40ACF65">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9EA00FC">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A1912A">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D2D79EF">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7ADF4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83167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AEA5F8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1CC590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CCDDA2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6DFC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2928038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16664C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CEA8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5DEC642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47035E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1E7D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23B9A45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7B0F38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ABDB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5E4ED15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383B2A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99934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FD266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C3CEF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95373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每份样本连续测定20 次，分别计算不同浓度样本的平均值及SD值，批内差</w:t>
      </w:r>
      <w:r>
        <w:rPr>
          <w:rFonts w:hint="default" w:ascii="Times New Roman" w:hAnsi="Times New Roman" w:cs="Times New Roman"/>
          <w:lang w:eastAsia="zh-CN"/>
        </w:rPr>
        <w:t>：</w:t>
      </w:r>
      <w:r>
        <w:rPr>
          <w:rFonts w:hint="default" w:ascii="Times New Roman" w:hAnsi="Times New Roman" w:cs="Times New Roman"/>
        </w:rPr>
        <w:t>CV&lt;9%。</w:t>
      </w:r>
    </w:p>
    <w:p w14:paraId="681F45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005FF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D293D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3FB8C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板条及未使用试剂，填写售后服务表格（网上下载填写），然后联系我公司技术支持为您解决问题，同时您也可以参考以下资料</w:t>
      </w:r>
      <w:r>
        <w:rPr>
          <w:rFonts w:hint="default" w:ascii="Times New Roman" w:hAnsi="Times New Roman" w:cs="Times New Roman"/>
          <w:lang w:eastAsia="zh-CN"/>
        </w:rPr>
        <w:t>：</w:t>
      </w:r>
    </w:p>
    <w:p w14:paraId="35429A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591C0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44914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14:paraId="3EDD30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77A9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9F87E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6406" w:type="dxa"/>
            <w:vAlign w:val="center"/>
          </w:tcPr>
          <w:p w14:paraId="7D8941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吸液或加液不准，检查移液器及吸头，确认是否正确稀释。</w:t>
            </w:r>
          </w:p>
        </w:tc>
      </w:tr>
      <w:tr w14:paraId="06144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C8114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6406" w:type="dxa"/>
            <w:vAlign w:val="center"/>
          </w:tcPr>
          <w:p w14:paraId="3B7551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A38A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F6611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6406" w:type="dxa"/>
            <w:vAlign w:val="center"/>
          </w:tcPr>
          <w:p w14:paraId="414AE6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0A0E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206F5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6406" w:type="dxa"/>
            <w:vAlign w:val="center"/>
          </w:tcPr>
          <w:p w14:paraId="6A01FD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B19E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D655C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6406" w:type="dxa"/>
            <w:vAlign w:val="center"/>
          </w:tcPr>
          <w:p w14:paraId="07A1D7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967B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F8D8E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6406" w:type="dxa"/>
            <w:vAlign w:val="center"/>
          </w:tcPr>
          <w:p w14:paraId="2D38EC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CF03DD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55C7E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43936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14:paraId="1D9EB4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C483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E0B09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406" w:type="dxa"/>
            <w:vAlign w:val="center"/>
          </w:tcPr>
          <w:p w14:paraId="797D0F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59A2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4BB79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406" w:type="dxa"/>
            <w:vAlign w:val="center"/>
          </w:tcPr>
          <w:p w14:paraId="404C5A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FD0A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0F819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406" w:type="dxa"/>
            <w:vAlign w:val="center"/>
          </w:tcPr>
          <w:p w14:paraId="5F5657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F8FE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DFB37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406" w:type="dxa"/>
            <w:vAlign w:val="center"/>
          </w:tcPr>
          <w:p w14:paraId="565720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B630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9C579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406" w:type="dxa"/>
            <w:vAlign w:val="center"/>
          </w:tcPr>
          <w:p w14:paraId="110BE3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EE51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21D86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406" w:type="dxa"/>
            <w:vAlign w:val="center"/>
          </w:tcPr>
          <w:p w14:paraId="55B879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eastAsia" w:ascii="Times New Roman" w:hAnsi="Times New Roman" w:cs="Times New Roman"/>
                <w:lang w:val="en-US" w:eastAsia="zh-CN"/>
              </w:rPr>
              <w:t>使用</w:t>
            </w:r>
            <w:r>
              <w:rPr>
                <w:rFonts w:hint="default" w:ascii="Times New Roman" w:hAnsi="Times New Roman" w:cs="Times New Roman"/>
              </w:rPr>
              <w:t>前应处于室温，或试剂的实验方案所建议的温度。</w:t>
            </w:r>
          </w:p>
        </w:tc>
      </w:tr>
      <w:tr w14:paraId="6908B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5F5E8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406" w:type="dxa"/>
            <w:vAlign w:val="center"/>
          </w:tcPr>
          <w:p w14:paraId="36E217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AF19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B501F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406" w:type="dxa"/>
            <w:vAlign w:val="center"/>
          </w:tcPr>
          <w:p w14:paraId="28B579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2FF6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86244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406" w:type="dxa"/>
            <w:vAlign w:val="center"/>
          </w:tcPr>
          <w:p w14:paraId="2EA92B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045C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D2251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406" w:type="dxa"/>
            <w:vAlign w:val="center"/>
          </w:tcPr>
          <w:p w14:paraId="76CEF6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716C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26515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406" w:type="dxa"/>
            <w:vAlign w:val="center"/>
          </w:tcPr>
          <w:p w14:paraId="161657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5AE53A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0" name="图片 3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3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25DFF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6FD15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3D344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D285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5788B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406" w:type="dxa"/>
            <w:vAlign w:val="center"/>
          </w:tcPr>
          <w:p w14:paraId="6150E3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C5AB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6F0E74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406" w:type="dxa"/>
            <w:tcBorders>
              <w:top w:val="single" w:color="auto" w:sz="4" w:space="0"/>
              <w:left w:val="single" w:color="auto" w:sz="4" w:space="0"/>
              <w:bottom w:val="single" w:color="auto" w:sz="4" w:space="0"/>
              <w:right w:val="single" w:color="auto" w:sz="4" w:space="0"/>
            </w:tcBorders>
            <w:vAlign w:val="center"/>
          </w:tcPr>
          <w:p w14:paraId="72AB89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C389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77BF9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406" w:type="dxa"/>
            <w:tcBorders>
              <w:top w:val="single" w:color="auto" w:sz="4" w:space="0"/>
              <w:left w:val="single" w:color="auto" w:sz="4" w:space="0"/>
              <w:bottom w:val="single" w:color="auto" w:sz="4" w:space="0"/>
              <w:right w:val="single" w:color="auto" w:sz="4" w:space="0"/>
            </w:tcBorders>
            <w:vAlign w:val="center"/>
          </w:tcPr>
          <w:p w14:paraId="4276D4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91FC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5226A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406" w:type="dxa"/>
            <w:tcBorders>
              <w:top w:val="single" w:color="auto" w:sz="4" w:space="0"/>
              <w:left w:val="single" w:color="auto" w:sz="4" w:space="0"/>
              <w:bottom w:val="single" w:color="auto" w:sz="4" w:space="0"/>
              <w:right w:val="single" w:color="auto" w:sz="4" w:space="0"/>
            </w:tcBorders>
            <w:vAlign w:val="center"/>
          </w:tcPr>
          <w:p w14:paraId="3C0418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3983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6725C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406" w:type="dxa"/>
            <w:tcBorders>
              <w:top w:val="single" w:color="auto" w:sz="4" w:space="0"/>
              <w:left w:val="single" w:color="auto" w:sz="4" w:space="0"/>
              <w:bottom w:val="single" w:color="auto" w:sz="4" w:space="0"/>
              <w:right w:val="single" w:color="auto" w:sz="4" w:space="0"/>
            </w:tcBorders>
            <w:vAlign w:val="center"/>
          </w:tcPr>
          <w:p w14:paraId="664B5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2D2D05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6E26C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B9339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317057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9306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45D2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406" w:type="dxa"/>
            <w:vAlign w:val="center"/>
          </w:tcPr>
          <w:p w14:paraId="26ADC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7454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99C5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406" w:type="dxa"/>
            <w:vAlign w:val="center"/>
          </w:tcPr>
          <w:p w14:paraId="63E79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5AC3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BD42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406" w:type="dxa"/>
            <w:vAlign w:val="center"/>
          </w:tcPr>
          <w:p w14:paraId="58C58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9741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31A0B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406" w:type="dxa"/>
            <w:vAlign w:val="center"/>
          </w:tcPr>
          <w:p w14:paraId="299330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34C4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D3A54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406" w:type="dxa"/>
            <w:vAlign w:val="center"/>
          </w:tcPr>
          <w:p w14:paraId="57535A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1761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AC2C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406" w:type="dxa"/>
            <w:vAlign w:val="center"/>
          </w:tcPr>
          <w:p w14:paraId="47546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847E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7A80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406" w:type="dxa"/>
            <w:vAlign w:val="center"/>
          </w:tcPr>
          <w:p w14:paraId="10C8B6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A09D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7D05B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406" w:type="dxa"/>
            <w:vAlign w:val="center"/>
          </w:tcPr>
          <w:p w14:paraId="194F2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2051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8540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406" w:type="dxa"/>
            <w:vAlign w:val="center"/>
          </w:tcPr>
          <w:p w14:paraId="7D8C0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E612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50E48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406" w:type="dxa"/>
            <w:vAlign w:val="center"/>
          </w:tcPr>
          <w:p w14:paraId="164C3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02F6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CC941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406" w:type="dxa"/>
            <w:vAlign w:val="center"/>
          </w:tcPr>
          <w:p w14:paraId="1EEC91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3322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EC74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406" w:type="dxa"/>
            <w:vAlign w:val="center"/>
          </w:tcPr>
          <w:p w14:paraId="1CFC0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按照说明书上推荐的时间和温度操作</w:t>
            </w:r>
            <w:r>
              <w:rPr>
                <w:rFonts w:hint="eastAsia" w:ascii="Times New Roman" w:hAnsi="Times New Roman" w:cs="Times New Roman"/>
                <w:sz w:val="24"/>
                <w:szCs w:val="24"/>
                <w:lang w:eastAsia="zh-CN"/>
              </w:rPr>
              <w:t>。</w:t>
            </w:r>
          </w:p>
        </w:tc>
      </w:tr>
      <w:tr w14:paraId="16050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6475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406" w:type="dxa"/>
            <w:vAlign w:val="center"/>
          </w:tcPr>
          <w:p w14:paraId="78F66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5F8D19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p>
    <w:p w14:paraId="5798A8A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1" name="图片 3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3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4D928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58764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5D4C3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BA29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FB46D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406" w:type="dxa"/>
            <w:vAlign w:val="center"/>
          </w:tcPr>
          <w:p w14:paraId="2EE65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D236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B37D5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406" w:type="dxa"/>
            <w:vAlign w:val="center"/>
          </w:tcPr>
          <w:p w14:paraId="1A4E4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88F7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0FB4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406" w:type="dxa"/>
            <w:vAlign w:val="center"/>
          </w:tcPr>
          <w:p w14:paraId="67DF0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B79A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558D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406" w:type="dxa"/>
            <w:vAlign w:val="center"/>
          </w:tcPr>
          <w:p w14:paraId="34FE7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F727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5458E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406" w:type="dxa"/>
            <w:vAlign w:val="center"/>
          </w:tcPr>
          <w:p w14:paraId="2BF8F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5EDF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A789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406" w:type="dxa"/>
            <w:vAlign w:val="center"/>
          </w:tcPr>
          <w:p w14:paraId="62AEF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w:t>
            </w:r>
          </w:p>
          <w:p w14:paraId="4B168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使用验证过的样品类型作为阳性对照同时进行检测。</w:t>
            </w:r>
          </w:p>
        </w:tc>
      </w:tr>
      <w:tr w14:paraId="23E42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78C1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406" w:type="dxa"/>
            <w:vAlign w:val="center"/>
          </w:tcPr>
          <w:p w14:paraId="51436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0C7E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B86B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406" w:type="dxa"/>
            <w:vAlign w:val="center"/>
          </w:tcPr>
          <w:p w14:paraId="0BBB8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DD13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FA7C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406" w:type="dxa"/>
            <w:vAlign w:val="center"/>
          </w:tcPr>
          <w:p w14:paraId="4BB0C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13FA86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8B4D4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E2DBC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B2C33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71958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739CD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BA44B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BA00B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D7397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28C04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7CE07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B5D0A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99524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E1012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8321A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8B2E4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40825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23F257D">
      <w:pPr>
        <w:rPr>
          <w:rFonts w:hint="default" w:ascii="Times New Roman" w:hAnsi="Times New Roman" w:cs="Times New Roman"/>
          <w:sz w:val="22"/>
          <w:szCs w:val="22"/>
        </w:rPr>
      </w:pPr>
    </w:p>
    <w:p w14:paraId="0808D95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B65BAA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FGF-21 Elisa Kit</w:t>
      </w:r>
    </w:p>
    <w:p w14:paraId="264667A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61DF162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12.5pg/ml</w:t>
      </w:r>
    </w:p>
    <w:p w14:paraId="4CE7DB6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AECA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59889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914A7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02F5A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4E0C3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252C1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DEDF6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3D4C8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7CA20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908E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3D682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6B2894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3154F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2E436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67D14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45F0D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15D1B0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3797E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6E19EB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5E14C7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6B52B1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A5B200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A55DA0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3A4350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37762F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Fibroblast growth factor 21 is a protein that in humans is encoded by the FGF21 gene. By genomic sequence analysis, Nishimura et al.(2000) identified the FGF21 gene within the 5-prime flanking region of the FUT1 gene on chromosome 19. The protein encoded by this gene is a member of the fibroblast growth factor(FGF) family. FGF family members possess broad mitogenic and cell survival activities and are involved in a variety of biological processes including embryonic development, cell growth, morphogenesis, tissue repair, tumor growth and invasion. FGF21 stimulates glucose uptake in adipocytes but not in other cell types. This effect is additive to the activity of insulin. FGF21 treatment of adipocytes is associated with phosphorylation of FRS2, a protein linking FGF receptors to the Ras/MAP kinase pathway. FGF21 injection in ob/ob mice results in an increase in Glut1 in adipose tissue. FGF21 also protects animals from diet-induced obesity when overexpressed in transgenic mice and lowers blood glucose and triglyceride levels when administered to diabetic rodents.</w:t>
      </w:r>
    </w:p>
    <w:p w14:paraId="0914CF0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9E9443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3563B5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7CB6C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05372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AEEF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F6B3F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8459D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E2592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3FDCDDC">
      <w:pPr>
        <w:rPr>
          <w:rFonts w:hint="default" w:ascii="Times New Roman" w:hAnsi="Times New Roman" w:cs="Times New Roman"/>
          <w:b/>
          <w:bCs/>
          <w:sz w:val="28"/>
          <w:szCs w:val="28"/>
        </w:rPr>
      </w:pPr>
    </w:p>
    <w:p w14:paraId="4336695A">
      <w:pPr>
        <w:rPr>
          <w:rFonts w:hint="default" w:ascii="Times New Roman" w:hAnsi="Times New Roman" w:cs="Times New Roman"/>
          <w:b/>
          <w:bCs/>
          <w:sz w:val="28"/>
          <w:szCs w:val="28"/>
        </w:rPr>
      </w:pPr>
    </w:p>
    <w:p w14:paraId="30BE6393">
      <w:pPr>
        <w:rPr>
          <w:rFonts w:hint="default" w:ascii="Times New Roman" w:hAnsi="Times New Roman" w:cs="Times New Roman"/>
          <w:b/>
          <w:bCs/>
          <w:sz w:val="28"/>
          <w:szCs w:val="28"/>
        </w:rPr>
      </w:pPr>
    </w:p>
    <w:p w14:paraId="3A79B38B">
      <w:pPr>
        <w:rPr>
          <w:rFonts w:hint="default" w:ascii="Times New Roman" w:hAnsi="Times New Roman" w:cs="Times New Roman"/>
          <w:b/>
          <w:bCs/>
          <w:sz w:val="28"/>
          <w:szCs w:val="28"/>
        </w:rPr>
      </w:pPr>
    </w:p>
    <w:p w14:paraId="5DA3F06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3DE3B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CEA697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17E13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4472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0B4D8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47AFD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1F74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465B2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84C9E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69068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E2A66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3A34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6177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47B0E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DDAC8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EBFF6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B2EF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02E3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04C4D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vial</w:t>
            </w:r>
          </w:p>
        </w:tc>
        <w:tc>
          <w:tcPr>
            <w:tcW w:w="1645" w:type="dxa"/>
            <w:vAlign w:val="center"/>
          </w:tcPr>
          <w:p w14:paraId="029A8A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1 vial</w:t>
            </w:r>
          </w:p>
        </w:tc>
        <w:tc>
          <w:tcPr>
            <w:tcW w:w="1900" w:type="dxa"/>
            <w:vAlign w:val="center"/>
          </w:tcPr>
          <w:p w14:paraId="14459F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5 vial</w:t>
            </w:r>
          </w:p>
        </w:tc>
      </w:tr>
      <w:tr w14:paraId="286BE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F003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CEB07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3C1ED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36B3E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1D83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5C9A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59044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1592A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8AF10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D331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651A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925E7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5DE5D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C6478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5E03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C32B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D2A63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85987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ECE6B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BE7B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684A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2BE0E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0DC78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AEEB5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ED5B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2FEA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F59D6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BD30A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A06B4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B55F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6021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98543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C8607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930EE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1230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3F54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3BC33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9FF14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39C68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B320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6EA6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E852D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79D5E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CE526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01D17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C307C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A4BF4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286D3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EFEE17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64A2B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50435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D8AAC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044E02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54EE69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03BED8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7.0-7.2), and accurately weigh the tissue weight after cutting the specimen at low temperature.</w:t>
      </w:r>
    </w:p>
    <w:p w14:paraId="0CA62BA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D61D65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CB56DB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88E2BE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ACC111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A918BB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2DD0A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9AA576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E81C3F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A5AC8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9FCC5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E57C2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90C7D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4EA65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1708D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A721A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E2FD4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tested after dilution. Generally diluted at 1:1000-10000.</w:t>
      </w:r>
    </w:p>
    <w:p w14:paraId="005EF8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B3A08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474D9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726FD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BC773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5B25A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79B59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E87B3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8CACB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C0C09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6DC4D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7302C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61DD5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F9627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96EDD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2519D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6F960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6CCC0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D95DF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sz w:val="24"/>
          <w:szCs w:val="24"/>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4"/>
          <w:szCs w:val="24"/>
        </w:rPr>
        <w:t>Pre-test preparation</w:t>
      </w:r>
      <w:r>
        <w:rPr>
          <w:rFonts w:hint="eastAsia" w:ascii="Times New Roman" w:hAnsi="Times New Roman" w:cs="Times New Roman"/>
          <w:b/>
          <w:bCs/>
          <w:sz w:val="24"/>
          <w:szCs w:val="24"/>
          <w:lang w:val="en-US" w:eastAsia="zh-CN"/>
        </w:rPr>
        <w:t>:</w:t>
      </w:r>
    </w:p>
    <w:p w14:paraId="40D65F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242CB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93EF7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460AE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0AA17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B7EDC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8768A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BAAF2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13648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342130" cy="1367790"/>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14:paraId="522E0B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8AD1E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1. </w:t>
      </w:r>
      <w:r>
        <w:rPr>
          <w:rFonts w:hint="default" w:ascii="Times New Roman" w:hAnsi="Times New Roman" w:cs="Times New Roman"/>
          <w:b/>
          <w:bCs/>
          <w:sz w:val="24"/>
          <w:szCs w:val="24"/>
        </w:rPr>
        <w:t>Sample</w:t>
      </w:r>
      <w:r>
        <w:rPr>
          <w:rFonts w:hint="default" w:ascii="Times New Roman" w:hAnsi="Times New Roman" w:cs="Times New Roman"/>
          <w:sz w:val="24"/>
          <w:szCs w:val="24"/>
        </w:rPr>
        <w:t xml:space="preserve">: Add 50 μl of Standard/Sample </w:t>
      </w:r>
      <w:r>
        <w:rPr>
          <w:rFonts w:hint="eastAsia" w:ascii="Times New Roman" w:hAnsi="Times New Roman" w:cs="Times New Roman"/>
          <w:sz w:val="24"/>
          <w:szCs w:val="24"/>
          <w:lang w:val="en-US" w:eastAsia="zh-CN"/>
        </w:rPr>
        <w:t>D</w:t>
      </w:r>
      <w:r>
        <w:rPr>
          <w:rFonts w:hint="default" w:ascii="Times New Roman" w:hAnsi="Times New Roman" w:cs="Times New Roman"/>
          <w:sz w:val="24"/>
          <w:szCs w:val="24"/>
        </w:rPr>
        <w:t>iluent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182B4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2. </w:t>
      </w:r>
      <w:r>
        <w:rPr>
          <w:rFonts w:hint="default" w:ascii="Times New Roman" w:hAnsi="Times New Roman" w:cs="Times New Roman"/>
          <w:b/>
          <w:bCs/>
          <w:sz w:val="24"/>
          <w:szCs w:val="24"/>
        </w:rPr>
        <w:t>Wash</w:t>
      </w:r>
      <w:r>
        <w:rPr>
          <w:rFonts w:hint="default" w:ascii="Times New Roman" w:hAnsi="Times New Roman" w:cs="Times New Roman"/>
          <w:sz w:val="24"/>
          <w:szCs w:val="24"/>
        </w:rPr>
        <w:t>: Wash the microplate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plate well 3 times with 1× wash solution, add 1× 300μl of lotion per well, shake/soak for 1-2 minutes each time, and print dry onto the filter paper. </w:t>
      </w:r>
    </w:p>
    <w:p w14:paraId="7BCB5C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antibodies</w:t>
      </w:r>
      <w:r>
        <w:rPr>
          <w:rFonts w:hint="default" w:ascii="Times New Roman" w:hAnsi="Times New Roman" w:cs="Times New Roman"/>
          <w:sz w:val="24"/>
          <w:szCs w:val="24"/>
        </w:rPr>
        <w:t xml:space="preserve">: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w:t>
      </w:r>
      <w:r>
        <w:rPr>
          <w:rFonts w:hint="default" w:ascii="Times New Roman" w:hAnsi="Times New Roman" w:eastAsia="宋体" w:cs="Times New Roman"/>
          <w:color w:val="000000"/>
          <w:kern w:val="0"/>
          <w:sz w:val="24"/>
          <w:szCs w:val="24"/>
          <w:lang w:val="en-US" w:eastAsia="zh-CN" w:bidi="ar"/>
        </w:rPr>
        <w:t>Concentrated Biotin Antibody Diluent</w:t>
      </w:r>
      <w:r>
        <w:rPr>
          <w:rFonts w:hint="default" w:ascii="Times New Roman" w:hAnsi="Times New Roman" w:cs="Times New Roman"/>
          <w:sz w:val="24"/>
          <w:szCs w:val="24"/>
        </w:rPr>
        <w:t xml:space="preserve">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0CEDC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4. </w:t>
      </w:r>
      <w:r>
        <w:rPr>
          <w:rFonts w:hint="default" w:ascii="Times New Roman" w:hAnsi="Times New Roman" w:cs="Times New Roman"/>
          <w:b/>
          <w:bCs/>
          <w:sz w:val="24"/>
          <w:szCs w:val="24"/>
        </w:rPr>
        <w:t>Wash</w:t>
      </w:r>
      <w:r>
        <w:rPr>
          <w:rFonts w:hint="default" w:ascii="Times New Roman" w:hAnsi="Times New Roman" w:cs="Times New Roman"/>
          <w:sz w:val="24"/>
          <w:szCs w:val="24"/>
        </w:rPr>
        <w:t xml:space="preserve">: Ditto. </w:t>
      </w:r>
    </w:p>
    <w:p w14:paraId="3F8EFC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5.</w:t>
      </w:r>
      <w:r>
        <w:rPr>
          <w:rFonts w:hint="default"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SABC</w:t>
      </w:r>
      <w:r>
        <w:rPr>
          <w:rFonts w:hint="default" w:ascii="Times New Roman" w:hAnsi="Times New Roman" w:cs="Times New Roman"/>
          <w:sz w:val="24"/>
          <w:szCs w:val="24"/>
        </w:rPr>
        <w:t>: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DC1E5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6. </w:t>
      </w:r>
      <w:r>
        <w:rPr>
          <w:rFonts w:hint="default" w:ascii="Times New Roman" w:hAnsi="Times New Roman" w:cs="Times New Roman"/>
          <w:b/>
          <w:bCs/>
          <w:sz w:val="24"/>
          <w:szCs w:val="24"/>
        </w:rPr>
        <w:t>Wash</w:t>
      </w:r>
      <w:r>
        <w:rPr>
          <w:rFonts w:hint="default" w:ascii="Times New Roman" w:hAnsi="Times New Roman" w:cs="Times New Roman"/>
          <w:sz w:val="24"/>
          <w:szCs w:val="24"/>
        </w:rPr>
        <w:t>: Ditto.</w:t>
      </w:r>
    </w:p>
    <w:p w14:paraId="2022A7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7. </w:t>
      </w:r>
      <w:r>
        <w:rPr>
          <w:rFonts w:hint="default" w:ascii="Times New Roman" w:hAnsi="Times New Roman" w:cs="Times New Roman"/>
          <w:b/>
          <w:bCs/>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E3AED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8. </w:t>
      </w:r>
      <w:r>
        <w:rPr>
          <w:rFonts w:hint="default" w:ascii="Times New Roman" w:hAnsi="Times New Roman" w:cs="Times New Roman"/>
          <w:b/>
          <w:bCs/>
          <w:sz w:val="24"/>
          <w:szCs w:val="24"/>
        </w:rPr>
        <w:t>Termination reaction</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w:t>
      </w:r>
      <w:r>
        <w:rPr>
          <w:rFonts w:hint="eastAsia" w:ascii="Times New Roman" w:hAnsi="Times New Roman" w:cs="Times New Roman"/>
          <w:sz w:val="24"/>
          <w:szCs w:val="24"/>
          <w:lang w:val="en-US" w:eastAsia="zh-CN"/>
        </w:rPr>
        <w:t>now</w:t>
      </w:r>
      <w:r>
        <w:rPr>
          <w:rFonts w:hint="default" w:ascii="Times New Roman" w:hAnsi="Times New Roman" w:cs="Times New Roman"/>
          <w:sz w:val="24"/>
          <w:szCs w:val="24"/>
        </w:rPr>
        <w:t xml:space="preserve"> the blue turns to yellow,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  </w:t>
      </w:r>
    </w:p>
    <w:p w14:paraId="11B6B6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BD0DC5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70F553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EEE32C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9BE08E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2BE11B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C46246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EAF4B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9E5F6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7BF48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9EA47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93DA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7416DC5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F5ECBC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61BC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A620A0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56D28E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5355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2F0F65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04C04E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F190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BCE6D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D6C6D7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FCEB9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978F6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FB319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A1A0D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9%。</w:t>
      </w:r>
    </w:p>
    <w:p w14:paraId="27C290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repeated 8 times using the same kit, and the average and SD values of samples of different concentrations were calculated, respectively.Batch-to-batch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10% 。</w:t>
      </w:r>
    </w:p>
    <w:p w14:paraId="4D7059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E9495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5CEE5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76A53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AA9180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C9A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5822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35D0E2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D0B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A8B8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D9DFE9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0A3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A15E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6C4285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457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A4A19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AD2D70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110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1A24F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C419D8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0D2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30B7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267A12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C73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5E4E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7B50A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B5080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E5443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7CF85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231" w:type="dxa"/>
            <w:vAlign w:val="center"/>
          </w:tcPr>
          <w:p w14:paraId="26B872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1091B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EB6B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33E8C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406" w:type="dxa"/>
            <w:vAlign w:val="center"/>
          </w:tcPr>
          <w:p w14:paraId="03EB3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BB5C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0B0A3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406" w:type="dxa"/>
            <w:vAlign w:val="center"/>
          </w:tcPr>
          <w:p w14:paraId="64FB1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BC14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4A872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406" w:type="dxa"/>
            <w:vAlign w:val="center"/>
          </w:tcPr>
          <w:p w14:paraId="2489B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1A0A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231" w:type="dxa"/>
            <w:vAlign w:val="center"/>
          </w:tcPr>
          <w:p w14:paraId="61ED1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406" w:type="dxa"/>
            <w:vAlign w:val="center"/>
          </w:tcPr>
          <w:p w14:paraId="3AC47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94E1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6A02E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406" w:type="dxa"/>
            <w:vAlign w:val="center"/>
          </w:tcPr>
          <w:p w14:paraId="6ECD0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48DD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5732C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406" w:type="dxa"/>
            <w:vAlign w:val="center"/>
          </w:tcPr>
          <w:p w14:paraId="54FD0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the reagent should be stored at room temperature or at the temperature recommended by the experimental protocol.</w:t>
            </w:r>
          </w:p>
        </w:tc>
      </w:tr>
      <w:tr w14:paraId="4B6FB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231" w:type="dxa"/>
            <w:vAlign w:val="center"/>
          </w:tcPr>
          <w:p w14:paraId="27174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406" w:type="dxa"/>
            <w:vAlign w:val="center"/>
          </w:tcPr>
          <w:p w14:paraId="61ECC6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1F56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1D8DA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406" w:type="dxa"/>
            <w:vAlign w:val="center"/>
          </w:tcPr>
          <w:p w14:paraId="4898F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1A38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4AC46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406" w:type="dxa"/>
            <w:vAlign w:val="center"/>
          </w:tcPr>
          <w:p w14:paraId="40FC0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C741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27795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406" w:type="dxa"/>
            <w:vAlign w:val="center"/>
          </w:tcPr>
          <w:p w14:paraId="2712A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B9D7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1EEB36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406" w:type="dxa"/>
            <w:vAlign w:val="center"/>
          </w:tcPr>
          <w:p w14:paraId="1F3A6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DCFAF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445A4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7DC030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257C3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CF3E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2FD9F0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406" w:type="dxa"/>
            <w:vAlign w:val="center"/>
          </w:tcPr>
          <w:p w14:paraId="2EC65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D9F9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425B8A7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406" w:type="dxa"/>
            <w:vAlign w:val="center"/>
          </w:tcPr>
          <w:p w14:paraId="0E6389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Check that all nozzles of the plate washer are unobstructed. </w:t>
            </w:r>
          </w:p>
          <w:p w14:paraId="0162C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using the recommended method.</w:t>
            </w:r>
          </w:p>
        </w:tc>
      </w:tr>
      <w:tr w14:paraId="1E5F9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2EE47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406" w:type="dxa"/>
            <w:vAlign w:val="center"/>
          </w:tcPr>
          <w:p w14:paraId="4034E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323F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2859E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406" w:type="dxa"/>
            <w:vAlign w:val="center"/>
          </w:tcPr>
          <w:p w14:paraId="62D97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25DD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231" w:type="dxa"/>
            <w:vAlign w:val="center"/>
          </w:tcPr>
          <w:p w14:paraId="174E65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406" w:type="dxa"/>
            <w:vAlign w:val="center"/>
          </w:tcPr>
          <w:p w14:paraId="53C6E0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1B49C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60132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5FC2D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0A66E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D271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319CF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406" w:type="dxa"/>
            <w:vAlign w:val="center"/>
          </w:tcPr>
          <w:p w14:paraId="38C0D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D1E6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231" w:type="dxa"/>
            <w:vAlign w:val="center"/>
          </w:tcPr>
          <w:p w14:paraId="46DDA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406" w:type="dxa"/>
            <w:vAlign w:val="center"/>
          </w:tcPr>
          <w:p w14:paraId="186FA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91DF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5325D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406" w:type="dxa"/>
            <w:vAlign w:val="center"/>
          </w:tcPr>
          <w:p w14:paraId="22972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7192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6E5A6F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406" w:type="dxa"/>
            <w:shd w:val="clear" w:color="auto" w:fill="auto"/>
            <w:vAlign w:val="center"/>
          </w:tcPr>
          <w:p w14:paraId="18152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730A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591686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406" w:type="dxa"/>
            <w:shd w:val="clear" w:color="auto" w:fill="auto"/>
            <w:vAlign w:val="center"/>
          </w:tcPr>
          <w:p w14:paraId="6D042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CC02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38FB4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406" w:type="dxa"/>
            <w:shd w:val="clear" w:color="auto" w:fill="auto"/>
            <w:vAlign w:val="center"/>
          </w:tcPr>
          <w:p w14:paraId="3B438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253C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514E7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406" w:type="dxa"/>
            <w:shd w:val="clear" w:color="auto" w:fill="auto"/>
            <w:vAlign w:val="center"/>
          </w:tcPr>
          <w:p w14:paraId="4523F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9B0C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51623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406" w:type="dxa"/>
            <w:shd w:val="clear" w:color="auto" w:fill="auto"/>
            <w:vAlign w:val="center"/>
          </w:tcPr>
          <w:p w14:paraId="25526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006E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7E232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added</w:t>
            </w:r>
          </w:p>
        </w:tc>
        <w:tc>
          <w:tcPr>
            <w:tcW w:w="6406" w:type="dxa"/>
            <w:shd w:val="clear" w:color="auto" w:fill="auto"/>
            <w:vAlign w:val="center"/>
          </w:tcPr>
          <w:p w14:paraId="3389F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8B6F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68723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406" w:type="dxa"/>
            <w:shd w:val="clear" w:color="auto" w:fill="auto"/>
            <w:vAlign w:val="center"/>
          </w:tcPr>
          <w:p w14:paraId="64EEC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D9E0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29849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406" w:type="dxa"/>
            <w:shd w:val="clear" w:color="auto" w:fill="auto"/>
            <w:vAlign w:val="center"/>
          </w:tcPr>
          <w:p w14:paraId="26AB8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5FA6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12F0C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406" w:type="dxa"/>
            <w:shd w:val="clear" w:color="auto" w:fill="auto"/>
            <w:vAlign w:val="center"/>
          </w:tcPr>
          <w:p w14:paraId="316F4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ED3E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44C59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406" w:type="dxa"/>
            <w:shd w:val="clear" w:color="auto" w:fill="auto"/>
            <w:vAlign w:val="center"/>
          </w:tcPr>
          <w:p w14:paraId="1B3D6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C02DE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rPr>
      </w:pPr>
    </w:p>
    <w:p w14:paraId="0E1284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3EEE6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31" w:type="dxa"/>
            <w:vAlign w:val="center"/>
          </w:tcPr>
          <w:p w14:paraId="36589B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6406" w:type="dxa"/>
            <w:vAlign w:val="center"/>
          </w:tcPr>
          <w:p w14:paraId="29705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1519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0ACC174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6406" w:type="dxa"/>
            <w:vAlign w:val="center"/>
          </w:tcPr>
          <w:p w14:paraId="1198E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33C5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19D990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6406" w:type="dxa"/>
            <w:vAlign w:val="center"/>
          </w:tcPr>
          <w:p w14:paraId="07493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9188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37371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6406" w:type="dxa"/>
            <w:vAlign w:val="center"/>
          </w:tcPr>
          <w:p w14:paraId="250C0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D11D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087F6F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6406" w:type="dxa"/>
            <w:vAlign w:val="center"/>
          </w:tcPr>
          <w:p w14:paraId="3FDC7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8F60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5E3E18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6406" w:type="dxa"/>
            <w:vAlign w:val="center"/>
          </w:tcPr>
          <w:p w14:paraId="3ED2B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245D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3BFEEA5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6406" w:type="dxa"/>
            <w:vAlign w:val="center"/>
          </w:tcPr>
          <w:p w14:paraId="2C4FC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4E57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65AB0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6406" w:type="dxa"/>
            <w:tcBorders>
              <w:top w:val="single" w:color="auto" w:sz="4" w:space="0"/>
              <w:left w:val="single" w:color="auto" w:sz="4" w:space="0"/>
              <w:bottom w:val="single" w:color="auto" w:sz="4" w:space="0"/>
              <w:right w:val="single" w:color="auto" w:sz="4" w:space="0"/>
            </w:tcBorders>
            <w:vAlign w:val="center"/>
          </w:tcPr>
          <w:p w14:paraId="46B25F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8047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6F973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6406" w:type="dxa"/>
            <w:tcBorders>
              <w:top w:val="single" w:color="auto" w:sz="4" w:space="0"/>
              <w:left w:val="single" w:color="auto" w:sz="4" w:space="0"/>
              <w:bottom w:val="single" w:color="auto" w:sz="4" w:space="0"/>
              <w:right w:val="single" w:color="auto" w:sz="4" w:space="0"/>
            </w:tcBorders>
            <w:vAlign w:val="center"/>
          </w:tcPr>
          <w:p w14:paraId="5BAF83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55F7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7E45C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6406" w:type="dxa"/>
            <w:tcBorders>
              <w:top w:val="single" w:color="auto" w:sz="4" w:space="0"/>
              <w:left w:val="single" w:color="auto" w:sz="4" w:space="0"/>
              <w:bottom w:val="single" w:color="auto" w:sz="4" w:space="0"/>
              <w:right w:val="single" w:color="auto" w:sz="4" w:space="0"/>
            </w:tcBorders>
            <w:vAlign w:val="center"/>
          </w:tcPr>
          <w:p w14:paraId="519D6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401EB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5AA0F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0ED2C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F50F6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A2504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1EBEE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69B16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F544E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130FD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CAC0E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5FD88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4140D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6D4C2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C5C51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A1398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B942C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6FF6F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66D1F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8E30D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38E30D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77FC4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65E0815">
    <w:pPr>
      <w:pStyle w:val="6"/>
      <w:jc w:val="both"/>
    </w:pPr>
  </w:p>
  <w:p w14:paraId="24F5A08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AF17B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B7C8B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0427A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79B18CA"/>
    <w:rsid w:val="3ACF6C5F"/>
    <w:rsid w:val="3E476FA1"/>
    <w:rsid w:val="403B1A92"/>
    <w:rsid w:val="41441021"/>
    <w:rsid w:val="43140575"/>
    <w:rsid w:val="45A831F7"/>
    <w:rsid w:val="487B2006"/>
    <w:rsid w:val="4A33079C"/>
    <w:rsid w:val="4F895E47"/>
    <w:rsid w:val="4FB1539E"/>
    <w:rsid w:val="505B403D"/>
    <w:rsid w:val="51601785"/>
    <w:rsid w:val="5219622B"/>
    <w:rsid w:val="527C01FE"/>
    <w:rsid w:val="52B76527"/>
    <w:rsid w:val="535C5873"/>
    <w:rsid w:val="53B27C58"/>
    <w:rsid w:val="545A3969"/>
    <w:rsid w:val="5560066F"/>
    <w:rsid w:val="560E70A6"/>
    <w:rsid w:val="57204800"/>
    <w:rsid w:val="572925FA"/>
    <w:rsid w:val="5A213B99"/>
    <w:rsid w:val="5A655FE8"/>
    <w:rsid w:val="5AFB20BF"/>
    <w:rsid w:val="5BE56AFB"/>
    <w:rsid w:val="5C335AB8"/>
    <w:rsid w:val="5FA41638"/>
    <w:rsid w:val="5FC12487"/>
    <w:rsid w:val="61D1606B"/>
    <w:rsid w:val="64D85BF0"/>
    <w:rsid w:val="682F7E10"/>
    <w:rsid w:val="6BB6367C"/>
    <w:rsid w:val="6FC565D0"/>
    <w:rsid w:val="72A72905"/>
    <w:rsid w:val="73AC5738"/>
    <w:rsid w:val="7835726A"/>
    <w:rsid w:val="789E22CF"/>
    <w:rsid w:val="794329F9"/>
    <w:rsid w:val="79725A1A"/>
    <w:rsid w:val="7AFA1921"/>
    <w:rsid w:val="7D376633"/>
    <w:rsid w:val="F3DDF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29</Pages>
  <Words>7094</Words>
  <Characters>9402</Characters>
  <Lines>251</Lines>
  <Paragraphs>70</Paragraphs>
  <TotalTime>0</TotalTime>
  <ScaleCrop>false</ScaleCrop>
  <LinksUpToDate>false</LinksUpToDate>
  <CharactersWithSpaces>9719</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2023-01-04T11:53:00Z</dcterms:created>
  <dc:creator>admin</dc:creator>
  <cp:lastModifiedBy>园园</cp:lastModifiedBy>
  <cp:lastPrinted>2023-01-04T13:48:00Z</cp:lastPrinted>
  <dcterms:modified xsi:type="dcterms:W3CDTF">2026-05-21T05:17:55Z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F00D21E33428452494126305BB247E42_13</vt:lpwstr>
  </property>
  <property fmtid="{D5CDD505-2E9C-101B-9397-08002B2CF9AE}" pid="4" name="KSOTemplateDocerSaveRecord">
    <vt:lpwstr>eyJoZGlkIjoiZjlhYmMwNDE4ZjgyYTdjMjM5M2UxNWJmNGRlZjNlYTgiLCJ1c2VySWQiOiIzMTY4MDkyMjEifQ==</vt:lpwstr>
  </property>
</Properties>
</file>