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AGE是晚期糖基化终产物的受体，是免疫球蛋白超家族的35kD跨膜受体。它也被称为“AGER”。AGR基因通过连续的cosmids和YAC克隆以及荧光原位杂交定位到染色体6p21.3。RAGE的表达在靠近淀粉样β肽沉积和神经原纤维缠结的神经元中尤其增加。愤怒与几种慢性病有关，这些疾病被认为是由血管损伤引起的。假设发病机制包括配体结合，RAGE信号激活核因子-κB（NF-κB）。</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RAGE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RAGE, the Receptor for Advanced Glycation Endproducts, is a 35kD transmembrane receptor of the immunoglobulin super family. It is also known as “AGER”. AGER gene is mapped to chromosome 6p21.3 by mapping by contiguous cosmids and YAC clones and by fluorescence in situ hybridization. The expression of RAGE is particularly increased in neurons close to deposits of amyloid beta peptide and to neurofibrillary tangles. RAGE has been linked to several chronic diseases, which are thought to result from vascular damage. The pathogenesis is hypothesized to include ligand binding upon which RAGE signals activation of the nuclear factor kappa B(NF-kappaB).</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