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C1161">
      <w:pPr>
        <w:pStyle w:val="2"/>
        <w:bidi w:val="0"/>
        <w:jc w:val="center"/>
        <w:rPr>
          <w:rFonts w:hint="default" w:ascii="Times New Roman" w:hAnsi="Times New Roman" w:cs="Times New Roman"/>
          <w:b/>
          <w:bCs w:val="0"/>
          <w:sz w:val="36"/>
          <w:szCs w:val="36"/>
        </w:rPr>
      </w:pPr>
      <w:r>
        <w:rPr>
          <w:rFonts w:hint="eastAsia"/>
          <w:b/>
          <w:bCs/>
          <w:sz w:val="36"/>
          <w:szCs w:val="36"/>
        </w:rPr>
        <w:t>Monkey TNFSF18/GITRL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B20D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7B56DF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EF71B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7B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ED84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EA65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370C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56CA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CB37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64DF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A522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C959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9E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0292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5A3B8E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20242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696E7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585F5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A858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9CC20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21D5D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26B3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F462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9412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2622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F718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D5ED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714B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18，也称为AITRL或GITRL，是一种在人类中由TNFSF18基因编码的蛋白质。该基因编码的蛋白质是一种属于肿瘤坏死因子（TNF）配体家族的细胞因子。它被映射到1q25.1。TNFSF18是受体TNFRSF18/AITR/GITR的配体。已经证明它可以调节外周组织中T淋巴细胞的存活。这种细胞因子也被发现在内皮细胞中表达，并且被认为对T淋巴细胞和内皮细胞之间的相互作用很重要。色氨酸分解代谢的TNFSF18依赖性调节可能是糖皮质激素生理和治疗作用的重要机制</w:t>
      </w:r>
    </w:p>
    <w:p w14:paraId="0B41872E">
      <w:pPr>
        <w:ind w:firstLine="441" w:firstLineChars="0"/>
        <w:rPr>
          <w:rFonts w:hint="default" w:ascii="Times New Roman" w:hAnsi="Times New Roman" w:cs="Times New Roman"/>
        </w:rPr>
      </w:pPr>
    </w:p>
    <w:p w14:paraId="6DE06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8C4B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3B39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B526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4E3B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A3F64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D3C86B">
      <w:pPr>
        <w:rPr>
          <w:rFonts w:hint="default" w:ascii="Times New Roman" w:hAnsi="Times New Roman" w:cs="Times New Roman"/>
        </w:rPr>
      </w:pPr>
      <w:r>
        <w:rPr>
          <w:rFonts w:hint="default" w:ascii="Times New Roman" w:hAnsi="Times New Roman" w:cs="Times New Roman"/>
        </w:rPr>
        <w:br w:type="page"/>
      </w:r>
    </w:p>
    <w:p w14:paraId="6B82F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4749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277C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6B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F4B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DD3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1F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49E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CF0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9D3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08A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F5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712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EBE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9AC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81E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70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C1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F87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D57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CC1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8C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D6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1B2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ED8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0DC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73D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48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DAC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78E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984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08F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1D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4333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485F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49C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F9E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A5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022E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8379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3A3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6A0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190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AB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901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EA62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76C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D92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7DA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EE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863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C3E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CC0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0ED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C0A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14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AD2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359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2BA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D80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A7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DEB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1D2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BB1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B71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F2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5803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B4F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D92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4F7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AA77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3C4E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9295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64D55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F267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2927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9714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384F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79FE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DEBB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EE16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4762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ED79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CADA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EB74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6993E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67D1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3891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AD6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4656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E513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500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C02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7F5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C3C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56B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234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F76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D56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3184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838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032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499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374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7E4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695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1774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5957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40EA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53D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849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2D6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E78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01C2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854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436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A82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B36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AFE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0B4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32C6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559D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0E4C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1E0E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75CF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161E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E635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18BC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4B10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614D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E44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AD67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10CF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33A7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FAD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EE3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C74E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3BEF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97C6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F3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DD7B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CBD0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8E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B6B7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8B21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F8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2FF7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2F4B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E6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96FE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8A3C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E2E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4DF1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71A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2D4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486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8CA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E7C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FCC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2A5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0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E0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E4F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CD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0D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F46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D7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A3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2B8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27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D6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69B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D7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17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B46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46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9A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8EA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4F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57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A20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A199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8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52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07F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3C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81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EEE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A1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CE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C5B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39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04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444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B7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CF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3A4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88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20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343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5A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8E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5B9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70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62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AAC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61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DC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5BB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41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A7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B28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98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D1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88C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0A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6E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852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A380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D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6E4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5F3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76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02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F7E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FF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9B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EFF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05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D3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EF2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40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E2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5BF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F4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E4C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327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EB07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2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92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694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AB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ED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0DA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34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BF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849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CC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F0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31E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05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AC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1EC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98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63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644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AB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69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CD1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79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3D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429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54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64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7D1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C3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91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17D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6D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4C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D8A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53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E5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098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6E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86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BED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2E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DD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98C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1009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B775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F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41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469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62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27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2B3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D9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ED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616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62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76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054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9B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B6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90D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EF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13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A46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A9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A4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FD3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587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1D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76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0EC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76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46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137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BD8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6C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D22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8F5B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7BD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D502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CCE0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305A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DEB8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125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FC52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A655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E849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B9E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8F9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1AE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6D3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C917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3E5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DAE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A46216">
      <w:pPr>
        <w:rPr>
          <w:rFonts w:hint="default" w:ascii="Times New Roman" w:hAnsi="Times New Roman" w:cs="Times New Roman"/>
          <w:sz w:val="22"/>
          <w:szCs w:val="22"/>
        </w:rPr>
      </w:pPr>
    </w:p>
    <w:p w14:paraId="21622FB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D6BA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TNFSF18/GITRL Elisa Kit</w:t>
      </w:r>
    </w:p>
    <w:p w14:paraId="773CCD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12A7F0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F5125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01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679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9B1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915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F1B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AA7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1B9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809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82D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97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2D6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84C9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8392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F008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92AE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C2E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18E10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DFE0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9825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4429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3BA4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2A47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6E54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3E53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AF29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TNFSF18/GITRL is Tumor necrosis factor ligand superfamily member 18, also known as AITRL or GITRL, is a protein that in humans is encoded by the TNFSF18 gene. The protein encoded by this gene is a cytokine that belongs to the tumor necrosis factor(TNF) ligand family. It is mapped to 1q25.1. TNFSF18 is a ligand for receptor TNFRSF18/AITR/GITR. It has been shown to modulate T lymphocyte survival in peripheral tissues. This cytokine is also found to be expressed in endothelial cells, and is thought to be important for interaction between T lymphocytes and endothelial cells. TNFSF18-dependent modulation of tryptophan catabolism may represent an important mechanism of action of glucocorticoids, both physiologically and therapeutically</w:t>
      </w:r>
    </w:p>
    <w:p w14:paraId="33AA57B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E832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D36F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EEA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199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652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049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817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A2A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671608">
      <w:pPr>
        <w:rPr>
          <w:rFonts w:hint="default" w:ascii="Times New Roman" w:hAnsi="Times New Roman" w:cs="Times New Roman"/>
          <w:b/>
          <w:bCs/>
          <w:sz w:val="28"/>
          <w:szCs w:val="28"/>
        </w:rPr>
      </w:pPr>
    </w:p>
    <w:p w14:paraId="7AC43323">
      <w:pPr>
        <w:rPr>
          <w:rFonts w:hint="default" w:ascii="Times New Roman" w:hAnsi="Times New Roman" w:cs="Times New Roman"/>
          <w:b/>
          <w:bCs/>
          <w:sz w:val="28"/>
          <w:szCs w:val="28"/>
        </w:rPr>
      </w:pPr>
    </w:p>
    <w:p w14:paraId="229247F2">
      <w:pPr>
        <w:rPr>
          <w:rFonts w:hint="default" w:ascii="Times New Roman" w:hAnsi="Times New Roman" w:cs="Times New Roman"/>
          <w:b/>
          <w:bCs/>
          <w:sz w:val="28"/>
          <w:szCs w:val="28"/>
        </w:rPr>
      </w:pPr>
    </w:p>
    <w:p w14:paraId="4872DFF5">
      <w:pPr>
        <w:rPr>
          <w:rFonts w:hint="default" w:ascii="Times New Roman" w:hAnsi="Times New Roman" w:cs="Times New Roman"/>
          <w:b/>
          <w:bCs/>
          <w:sz w:val="28"/>
          <w:szCs w:val="28"/>
        </w:rPr>
      </w:pPr>
    </w:p>
    <w:p w14:paraId="26FBFF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2DD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6B3E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1EA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9C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6A62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00C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09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091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D3D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E29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3D7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8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83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FF8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504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E5F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51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5A3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0B2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AF0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9BA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52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5E9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2B8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64F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3D3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86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9B4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490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8E4E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EC7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C3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0AF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FC7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106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86A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26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69B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EA6B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0589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9B9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47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672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61F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6D6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6B5F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2F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E7E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083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6B9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7F2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6B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BD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9E9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708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F0A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40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D6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75F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2A1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39B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64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39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914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270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E3D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2C3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038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A12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231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ED69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C35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D33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3661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8839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CB36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1F60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35A3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20E0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4156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8BD4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60C9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1130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3E3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A5DB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4DC5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58B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930C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387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29C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020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D11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B39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17C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D41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CAF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2E5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D79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B2F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E02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132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A0F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1FD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58F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0DA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D66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6C25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7EE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42CA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53F4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F6BE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C86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BEB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72B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7E7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710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F97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E41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03D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431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EB4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3A1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700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A28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862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0E8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AA0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F85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4C1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E73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898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F1C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C13F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5E62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79AE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DCCC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0E03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798A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5760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6C8F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AF88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D9B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76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330D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6776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01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6CE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BFE5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44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6FDC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3580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96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4739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113F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406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B1B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613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BA4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AE4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949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191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6DF4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57B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4D68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D54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642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5E4A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1F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AA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56A4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656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47D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926A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275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4E9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575B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E12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74C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F1D8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4DF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775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168C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A65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27D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635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9DC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1E1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5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7E6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FC2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71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7BE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552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41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137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835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4A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F76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252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9B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8AA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CC3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8F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62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677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35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D7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AD5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88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BFF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9D4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FC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E15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F43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17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7FA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397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AF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DF7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417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B7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634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1BB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F51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52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526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FD9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C7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1A2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FD0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B5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45AC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423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052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56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60A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280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85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FC4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266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3F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7EA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E4A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391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F2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7BE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5DF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14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865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7D9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D7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2BF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8CE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DE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021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DAC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5E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503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5C2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22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55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8C3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CD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F50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198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16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837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0C7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78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C5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D28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78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AB1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6F3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6A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D9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09A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A3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46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ADF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E8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42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EBC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24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AA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DED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AE4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B97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6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485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437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E7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A371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F8E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C2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CA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A42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5B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317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751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DD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62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894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29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405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60A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89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ACBD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7E3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BB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407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F8F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EA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85D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91E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53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CF7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1DD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83F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1E0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2D7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524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D73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3CE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68C3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292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440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CD4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D7B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99C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B03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F028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40D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892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1AC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236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831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E831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42C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FE52F7">
    <w:pPr>
      <w:pStyle w:val="6"/>
      <w:jc w:val="both"/>
    </w:pPr>
  </w:p>
  <w:p w14:paraId="45D0488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DDB0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BB7C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BA08F7"/>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6757</Words>
  <Characters>7974</Characters>
  <Lines>251</Lines>
  <Paragraphs>70</Paragraphs>
  <TotalTime>0</TotalTime>
  <ScaleCrop>false</ScaleCrop>
  <LinksUpToDate>false</LinksUpToDate>
  <CharactersWithSpaces>8074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2026-05-26T07:21:04Z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