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7C618">
      <w:pPr>
        <w:pStyle w:val="2"/>
        <w:bidi w:val="0"/>
        <w:jc w:val="center"/>
        <w:rPr>
          <w:rFonts w:hint="default" w:ascii="Times New Roman" w:hAnsi="Times New Roman" w:cs="Times New Roman"/>
          <w:b/>
          <w:bCs w:val="0"/>
          <w:sz w:val="36"/>
          <w:szCs w:val="36"/>
        </w:rPr>
      </w:pPr>
      <w:r>
        <w:rPr>
          <w:rFonts w:hint="eastAsia"/>
          <w:b/>
          <w:bCs/>
          <w:sz w:val="36"/>
          <w:szCs w:val="36"/>
        </w:rPr>
        <w:t>Porcine TNFRSF25/DR3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1A069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4864E2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5019B70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1601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64383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46405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1AA1F1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A414B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1B3B9F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F82BC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A8E7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4D2D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0C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211DC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484644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161B2F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3456D0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4124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65A55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91131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3240F5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5EB6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E93E28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49CB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4C055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840D44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51FA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89C5D5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死亡受体3（DR3），也称为肿瘤坏死因子受体超家族成员25（TNFRSF25），是肿瘤坏死因子受体超家族的细胞表面受体，介导凋亡信号和分化。在小鼠中进行的基因敲除研究表明，该基因在去除胸腺中的自身反应性T细胞中起作用。据报道，该基因编码不同亚型的多个选择性剪接转录变体，其中大多数是潜在的分泌分子。B细胞和T细胞中该基因的选择性剪接在T细胞激活时发生程序性变化，主要产生全长、膜结合的亚型，被认为参与控制T细胞激活诱导的淋巴细胞增殖</w:t>
      </w:r>
    </w:p>
    <w:p w14:paraId="01D7F4C0">
      <w:pPr>
        <w:ind w:firstLine="441" w:firstLineChars="0"/>
        <w:rPr>
          <w:rFonts w:hint="default" w:ascii="Times New Roman" w:hAnsi="Times New Roman" w:cs="Times New Roman"/>
        </w:rPr>
      </w:pPr>
    </w:p>
    <w:p w14:paraId="22F03D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F0115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2428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0B27DF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7E072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E33952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36C97CC">
      <w:pPr>
        <w:rPr>
          <w:rFonts w:hint="default" w:ascii="Times New Roman" w:hAnsi="Times New Roman" w:cs="Times New Roman"/>
        </w:rPr>
      </w:pPr>
      <w:r>
        <w:rPr>
          <w:rFonts w:hint="default" w:ascii="Times New Roman" w:hAnsi="Times New Roman" w:cs="Times New Roman"/>
        </w:rPr>
        <w:br w:type="page"/>
      </w:r>
    </w:p>
    <w:p w14:paraId="592353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17595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504E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CE03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A4C4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ED23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B68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85B5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80103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A149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A2DBD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736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90AD8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A54C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971F7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C49F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B73A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8705F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BC9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53CCA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A43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3DF8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0707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B2080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030CC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75D8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9AA0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E6FC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B4FE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9F90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5C69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C453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801E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74B0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E776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E13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C8CB7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E0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5AD6A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B4E11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88BCB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101C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B9D2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E4F9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C0D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A02D6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34C7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DA3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7F39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EB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EC9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93FF0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6FAA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20CF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B33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0D3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255C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E67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0629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86AB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4916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37387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D63E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783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408C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7AF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CD3F68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E57D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CD87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2AE3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78AAF9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F26E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3E5953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CF903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B2D87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C149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8DE2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38C171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15768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9DB0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15A3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C1CE3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568E4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85DC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A9BDDC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EBB9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A5EB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9EFE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CB79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BA6C3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7ABBE1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304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BDC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BFF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4F08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EEF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7F7C1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245D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94A8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C9FFF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8FF17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24787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DCE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EEC0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5B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DE200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4F98DE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2C359C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529DA8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6A894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A31C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16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092E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DD5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C67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B7A3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C62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7635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E9E1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9D96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A9B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92B7C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AA31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BDBF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268C8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6125B6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84120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6C9B3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270BF9D">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AFB0A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6CF2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C1AF6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12682A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AEA4B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AECA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44B97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51BE8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8A136B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ECDD1E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869C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88008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A83D6C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82D8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1BFC7A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F547E8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298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646D7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199377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4D9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6795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C2B04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0530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4001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5B58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98CFA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8531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3983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A6C1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6683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F0387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F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39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F718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4EF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B10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C1AD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B237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3D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9EFD9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CBC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1C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32EC7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3850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A8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A0AEB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19BB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554F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1937A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95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7A97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7A6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010D1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F71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BC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F5902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822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7825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0FF8F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B6C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AA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847E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A4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D7B8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A194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716A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20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74BA9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2E6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2CEC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CF1F0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09A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597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090E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087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D0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BBB63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EF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58D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9D3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0DE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3C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E4826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B9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217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8D22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FDB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474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5157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386C1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EB6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E20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879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89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3DB6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C64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1D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37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0FC73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1BF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06E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FBF4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214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C35A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C652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20D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23F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7A8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3EA5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B7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F00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FE771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86F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21BF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85A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9A99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16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1415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AAFE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C2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00CC7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7B92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1C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97C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419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4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480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38B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2A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26F6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93F4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9C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8001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9D1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BAB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55E0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24D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FB4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48EB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7CE1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581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A5F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A8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B8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6D38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12F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27A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B26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3C4F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94B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185B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43F6B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E69B0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ED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C7BF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0397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2CC4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B8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0FD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FED1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DA1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F8B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480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764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3D0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A95D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5B0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8D6F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1BC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4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447C6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6CA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7E4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B1FA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855F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E42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CF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C766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E7D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62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894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D65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BF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A95B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FF5972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45BF3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C471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29FD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6711D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5017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CD1AB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68E6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82F97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02BA2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FD2D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7133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34F3A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C983B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0526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44F46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2A90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23782CF">
      <w:pPr>
        <w:rPr>
          <w:rFonts w:hint="default" w:ascii="Times New Roman" w:hAnsi="Times New Roman" w:cs="Times New Roman"/>
          <w:sz w:val="22"/>
          <w:szCs w:val="22"/>
        </w:rPr>
      </w:pPr>
    </w:p>
    <w:p w14:paraId="29F50AA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7B6E37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TNFRSF25/DR3 Elisa Kit</w:t>
      </w:r>
    </w:p>
    <w:p w14:paraId="181673D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3347B5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59FA14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93DE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65FB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BCED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69749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0554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FF7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82853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8976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220D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CB64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33C1A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25B8F6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90B62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5E879D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ECA44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CFABB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56BB1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14A57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35270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EF328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07BC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C9D9B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B1FE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44D67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F673A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TNFRSF25/DR3 is Death receptor 3 (DR3), also known as tumor necrosis factor receptor superfamily member 25 (TNFRSF25), is a cell surface receptor of the tumor necrosis factor receptor superfamily which mediates apoptotic signalling and differentiation. Knockout studies in mice suggested the role of this gene in the removal of self-reactive T cells in the thymus. Multiple alternatively spliced transcript variants of this gene encoding distinct isoforms have been reported, most of which are potentially secreted molecules. The alternative splicing of this gene in B and T cells encounters a programmed change upon T-cell activation, which predominantly produces full-length, membrane bound isoforms, and is thought to be involved in controlling lymphocyte proliferation induced by T-cell activation</w:t>
      </w:r>
    </w:p>
    <w:p w14:paraId="62D707D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CD1C6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5BD7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EF9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1840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5BD4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4CA5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A35A3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6477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EE7F11D">
      <w:pPr>
        <w:rPr>
          <w:rFonts w:hint="default" w:ascii="Times New Roman" w:hAnsi="Times New Roman" w:cs="Times New Roman"/>
          <w:b/>
          <w:bCs/>
          <w:sz w:val="28"/>
          <w:szCs w:val="28"/>
        </w:rPr>
      </w:pPr>
    </w:p>
    <w:p w14:paraId="41FD52C1">
      <w:pPr>
        <w:rPr>
          <w:rFonts w:hint="default" w:ascii="Times New Roman" w:hAnsi="Times New Roman" w:cs="Times New Roman"/>
          <w:b/>
          <w:bCs/>
          <w:sz w:val="28"/>
          <w:szCs w:val="28"/>
        </w:rPr>
      </w:pPr>
    </w:p>
    <w:p w14:paraId="34A5AD48">
      <w:pPr>
        <w:rPr>
          <w:rFonts w:hint="default" w:ascii="Times New Roman" w:hAnsi="Times New Roman" w:cs="Times New Roman"/>
          <w:b/>
          <w:bCs/>
          <w:sz w:val="28"/>
          <w:szCs w:val="28"/>
        </w:rPr>
      </w:pPr>
    </w:p>
    <w:p w14:paraId="722D98CA">
      <w:pPr>
        <w:rPr>
          <w:rFonts w:hint="default" w:ascii="Times New Roman" w:hAnsi="Times New Roman" w:cs="Times New Roman"/>
          <w:b/>
          <w:bCs/>
          <w:sz w:val="28"/>
          <w:szCs w:val="28"/>
        </w:rPr>
      </w:pPr>
    </w:p>
    <w:p w14:paraId="35787A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A1B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3AF29B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8F01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9B28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6D464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386A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0EE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112F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ADEFB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F79D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891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40A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A03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3BF7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E0F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C1B57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5ED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8DE7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381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FE169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E0551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264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A531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9ED1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0D6DA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211EF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CF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8A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C9BC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19E6A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852B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1783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65EC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35B2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A6C0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0F2D5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D3A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A9C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3BE2E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E7DA3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80D33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B35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449A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D9C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163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1168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3291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9C1C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0AB9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D9478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1FA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D4F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C22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45853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41944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5CB2A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81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FFA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617F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073D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A128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0B4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A4D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AA65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71AA5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2B07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C416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88C7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6328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7E17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5F0B6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8A18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2505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7CA7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59572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3AC1B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0026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F680B2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AD42D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05CA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8817D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2D70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7311B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49996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A9AF27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E28BD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34525E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EFA8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B3F91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DCC0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34F52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0E5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271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545CF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A2BF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8EF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A930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1C5DD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43F2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F177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54F8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301CC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3EF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FC7D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FA2E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FA51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A6A9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7799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2ADD4A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CCA0D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14FD8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0ACE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EA514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FE8A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6CF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37F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849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EFC3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6806F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1C6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6B462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C7DD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5E0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426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F70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8B5DB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1FF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698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AE680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672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AAAA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E383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9A8F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F5D2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89AAD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7833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77DED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95DB3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22C9E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8450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8B22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C1B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BA8D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FC02D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60A31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BF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72ED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85077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2E89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AF7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1D91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7E7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9E02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850A2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D81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0BD3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EE7C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D611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55B2A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C479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C1C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B0F04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3BBA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6460C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AFC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6C7B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134A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5F0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7A7E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BA1E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34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CBEE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DBA22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2A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AEA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FE843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FFB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C1E15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F9EDE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051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3321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67CB9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200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9454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1200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8A2E8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D1C72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C0B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BDBB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E1B2D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71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43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9B0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1962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A5B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9544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6ABD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DAB5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3DE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105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BE42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CB91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CFA3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95B9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C2B9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AC80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222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8CBE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9F01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EFB8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6AA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44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90D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CE84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9EC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6CE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AADC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A503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50CC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D77AD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DCA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CF05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20531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6F26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0BA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47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070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B7F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3D3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6CA4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DABB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F412D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A0B1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05DE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8CA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A983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D53F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55CF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1F9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7246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10D5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1019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362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C08C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170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E9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1199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64F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ADEB6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C4D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BC4C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902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2DCED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05D6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988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DBE89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095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618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A20F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324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737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612C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0C2E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E6A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E610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23A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F58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B10D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7D15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82B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767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8F7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CB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940E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3F4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20F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B9F38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4C97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32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DDDEF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608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2F2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C7D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C02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54D0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31D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C778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DA96C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978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F4A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9434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D34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C42AFA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BAB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BA37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BD6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2E58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F76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4F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A7A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BF9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B2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4547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5CD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DD3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C58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7794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FCE08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A67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2E0C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BC6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A43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B228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C36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E49C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7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37E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629A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506E1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6CC8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A5CBD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0541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863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10E2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7EC7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2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ADA88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05FF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5753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14DF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69FF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8485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68A3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98B91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6DB1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F345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2B6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72B6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B071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B9E1B34">
    <w:pPr>
      <w:pStyle w:val="6"/>
      <w:jc w:val="both"/>
    </w:pPr>
  </w:p>
  <w:p w14:paraId="52DDEF7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28F8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F51D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852DCE"/>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6779</Words>
  <Characters>7989</Characters>
  <Lines>251</Lines>
  <Paragraphs>70</Paragraphs>
  <TotalTime>0</TotalTime>
  <ScaleCrop>false</ScaleCrop>
  <LinksUpToDate>false</LinksUpToDate>
  <CharactersWithSpaces>8094</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2026-05-27T00:56:40Z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