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D25D48">
      <w:pPr>
        <w:pStyle w:val="2"/>
        <w:bidi w:val="0"/>
        <w:jc w:val="center"/>
        <w:rPr>
          <w:rFonts w:hint="default" w:ascii="Times New Roman" w:hAnsi="Times New Roman" w:cs="Times New Roman"/>
          <w:b/>
          <w:bCs w:val="0"/>
          <w:sz w:val="36"/>
          <w:szCs w:val="36"/>
        </w:rPr>
      </w:pPr>
      <w:r>
        <w:rPr>
          <w:rFonts w:hint="eastAsia"/>
          <w:b/>
          <w:bCs/>
          <w:sz w:val="36"/>
          <w:szCs w:val="36"/>
        </w:rPr>
        <w:t>Porcine PTX2/SAP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73DE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325C0E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75704A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77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E8A6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0FB1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0A37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4499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F72D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9945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2DCF2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C4BE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AA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E1AE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5B03A6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58159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77BBB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24003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A1AA9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26BD2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FD8E3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B163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5AA8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2C786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74F7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D6B6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B944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3E27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P组分，血清（SAP），也称为PTX2或APCS，是淀粉样P组分（AP）的相同血清形式，一种25kDa五聚体蛋白，首次被鉴定为体内病理沉积物的五角体成分，称为“淀粉样蛋白”。它属于pentraxins家族，以钙依赖性配体结合和独特的扁平β-胶状结构为特征，类似于豆类凝集素。该基因定位于1q23.2。编码蛋白与病理性淀粉样交叉β折叠蛋白的结合表明其可能作为伴侣发挥作用。这种蛋白质也被认为可以控制染色质的降解。已经证明，该蛋白在早期阶段与凋亡细胞结合，这增加了它参与体内处理凋亡细胞的可能性。</w:t>
      </w:r>
    </w:p>
    <w:p w14:paraId="37B7BF78">
      <w:pPr>
        <w:ind w:firstLine="441" w:firstLineChars="0"/>
        <w:rPr>
          <w:rFonts w:hint="default" w:ascii="Times New Roman" w:hAnsi="Times New Roman" w:cs="Times New Roman"/>
        </w:rPr>
      </w:pPr>
    </w:p>
    <w:p w14:paraId="359537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6755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F3E9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93A4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75D0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01BA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D9F150">
      <w:pPr>
        <w:rPr>
          <w:rFonts w:hint="default" w:ascii="Times New Roman" w:hAnsi="Times New Roman" w:cs="Times New Roman"/>
        </w:rPr>
      </w:pPr>
      <w:r>
        <w:rPr>
          <w:rFonts w:hint="default" w:ascii="Times New Roman" w:hAnsi="Times New Roman" w:cs="Times New Roman"/>
        </w:rPr>
        <w:br w:type="page"/>
      </w:r>
    </w:p>
    <w:p w14:paraId="37B4B2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5164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F9D8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4A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B3C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CFF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62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403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3F5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D27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8ED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11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F3D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338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092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738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0A0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481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50E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088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629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4C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317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1D3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0D3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1B7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264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5E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3D8C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03D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9AC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E4D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F4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4644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952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4F3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A0C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41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B450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50B8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B8A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B57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339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41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E117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D73E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D20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67C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3C8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4E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616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261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51C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C34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378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39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804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232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467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D66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B9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A89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8C6E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FED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79B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E7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C888B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D01F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A0B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2DA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02BC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36C4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3418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FF9FF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5B15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0DFF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16FE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C674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6F74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EF83A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D964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DF6C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F8B4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6439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E705A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E8BCB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E89B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0723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D77A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FE5AB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0A67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DC8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E52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F9F6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EDE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393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FE2E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617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DD7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D8B7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EC4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F35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1B6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562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75E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553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251B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6EA2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2759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9F9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C82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CE8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967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CEF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ECC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EEC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3F4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891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06B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A6F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3F6A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C3741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1D95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03F7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7CE8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70B1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CFFCB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4172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61CF0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CC23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C913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C9E2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C7CB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5F49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923C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0F14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5462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F3C7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21EE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39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C861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8F99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01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34B8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92C2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C9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8EDA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A90D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DE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874F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0AE8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7850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8E8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617D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BAB4C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38E7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4C4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370E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FCD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15AF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45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8A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4DC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37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47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710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BF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620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D82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68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6D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653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39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1F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26B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7A9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DB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7B9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CD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91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6834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3FBD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CE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9F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FB8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3E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DA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C5C8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36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F2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472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85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7F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DBF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F2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21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BF1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E5D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7A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FECD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E8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62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590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E2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DB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37A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28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6B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3A7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D6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22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C1E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37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4D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710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D4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64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47F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2C52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AA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E1C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013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0F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8F9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94F3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24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B29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E1B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7D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424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5BBF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D5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718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93A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584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B8F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C28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D6C2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CD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5B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D17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7E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9A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A5B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27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BF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4FA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7C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EF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AEAC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78D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19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B972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02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3A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12E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D45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B4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3F4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14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F6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05C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C4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F0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B83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AF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A1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6DF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0A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98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9A2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E7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AC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BD1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9F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A0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F28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9B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9E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3EBF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C6FF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60A7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3D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07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60B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80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4E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125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1FE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F1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53D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91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58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DDFD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29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FC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7E2E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42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3B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D4D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9D6F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5E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873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B94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01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FE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A23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B13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1D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FFE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38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56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FBD0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7FC1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47E5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F2B3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1506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1E02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9BFB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6D3D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761E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31D3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FAAB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F163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B111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52DB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9FBF1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E3E5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1A6C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D13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D720AA">
      <w:pPr>
        <w:rPr>
          <w:rFonts w:hint="default" w:ascii="Times New Roman" w:hAnsi="Times New Roman" w:cs="Times New Roman"/>
          <w:sz w:val="22"/>
          <w:szCs w:val="22"/>
        </w:rPr>
      </w:pPr>
    </w:p>
    <w:p w14:paraId="1E81D76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FA64A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PTX2/SAP Elisa Kit</w:t>
      </w:r>
    </w:p>
    <w:p w14:paraId="0F487F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6484CE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132BC9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E7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63E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F05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F24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BB4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81B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6CB6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28E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851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BB3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53B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6FF1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216B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2237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0FA3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E7D1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E9D5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3E97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16703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77E9D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B3B4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BF0F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0C36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9A043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309B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Amyloid P component, serum (SAP), also known as PTX2 or APCS, is the identical serum form of amyloid P component (AP), a 25kDa pentameric protein first identified as the pentagonal constituent of in vivo pathological deposits called "amyloid". It belongs to the pentraxins family, characterised by calcium dependent ligand binding and distinctive flattened β-jellyroll structure similar to that of the legume lectins. This gene is mapped to 1q23.2. The binding of the encoded protein to proteins in the pathological amyloid cross-beta fold suggests its possible role as a chaperone. This protein is also thought to control the degradation of chromatin. It has been demonstrated that this protein binds to apoptotic cells at an early stage, which raises the possibility that it is involved in dealing with apoptotic cells in vivo.</w:t>
      </w:r>
    </w:p>
    <w:p w14:paraId="4C2549E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FBE90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B931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F949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8D4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DE5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70E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E7C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CDC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EC6E276">
      <w:pPr>
        <w:rPr>
          <w:rFonts w:hint="default" w:ascii="Times New Roman" w:hAnsi="Times New Roman" w:cs="Times New Roman"/>
          <w:b/>
          <w:bCs/>
          <w:sz w:val="28"/>
          <w:szCs w:val="28"/>
        </w:rPr>
      </w:pPr>
    </w:p>
    <w:p w14:paraId="197F6FB2">
      <w:pPr>
        <w:rPr>
          <w:rFonts w:hint="default" w:ascii="Times New Roman" w:hAnsi="Times New Roman" w:cs="Times New Roman"/>
          <w:b/>
          <w:bCs/>
          <w:sz w:val="28"/>
          <w:szCs w:val="28"/>
        </w:rPr>
      </w:pPr>
    </w:p>
    <w:p w14:paraId="668DE64D">
      <w:pPr>
        <w:rPr>
          <w:rFonts w:hint="default" w:ascii="Times New Roman" w:hAnsi="Times New Roman" w:cs="Times New Roman"/>
          <w:b/>
          <w:bCs/>
          <w:sz w:val="28"/>
          <w:szCs w:val="28"/>
        </w:rPr>
      </w:pPr>
    </w:p>
    <w:p w14:paraId="18AFE1E2">
      <w:pPr>
        <w:rPr>
          <w:rFonts w:hint="default" w:ascii="Times New Roman" w:hAnsi="Times New Roman" w:cs="Times New Roman"/>
          <w:b/>
          <w:bCs/>
          <w:sz w:val="28"/>
          <w:szCs w:val="28"/>
        </w:rPr>
      </w:pPr>
    </w:p>
    <w:p w14:paraId="4488E03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BF7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0AC4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C10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E4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2A4D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327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86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62B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00E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C9E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2D6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03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77D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327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597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052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6C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96D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8C9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F02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C43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B84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54E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7FF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66D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13F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21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7A4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3BF9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51C3A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21D7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C2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7F7E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F2E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733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83C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44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E693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C91F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0258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616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D8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9D8A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79D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C6D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BD8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04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52B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6E8F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388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CA4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14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587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2BEE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BF9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B92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03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30C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D78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9ED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72C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0C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1D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FFA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962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AD5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3CD3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637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F02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B494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2F3B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30789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BD4C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BC17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8D28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DF34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2428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6389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E6158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79A78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9578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5FCA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4E0F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9FE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4664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2642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22A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7CBF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4B0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D81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311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A652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9BA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AFB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E0C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61C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F9A5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6579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CEC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BEE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70B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CF1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308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01F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09C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326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30978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5E3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7D28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B868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6BA9A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F42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1E1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4B32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0D8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A14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CC5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55A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01F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D09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C7C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A8E6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03D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A8D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DE9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ED1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810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C33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705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85F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A656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8E74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E013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BC9A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03F2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D81AE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BAEF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E1C2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B527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7593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DDB08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188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13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C130C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5D0A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D3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7487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1768F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8B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5B83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2622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E2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5000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316C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700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E8E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B1F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0B0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BDA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187A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44E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CE9D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0E96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97DC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263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651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5BD1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7A4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5B8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A33A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491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45C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D7F3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B09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415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220D6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F96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C14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56F5C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EAC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DB6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AB42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664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596E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515E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D3E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219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F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078C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EED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EA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675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985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9E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9FF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46F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38E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AD6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F76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03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2C9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666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5D1B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DA7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513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25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5CB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9D8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2B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3BA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556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94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EC0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AF0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D3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461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204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8A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568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CD0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4E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9B4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AC8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64FF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0D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EAA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FC0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95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713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41F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284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68FC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6E2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399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5DB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E0C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93FE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F7B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C8E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E99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A37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6F6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3DB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9F0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DC0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BDF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1DD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A2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59C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3C9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5E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6E1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5D2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2B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171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300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15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E38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750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06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748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C3E9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0C0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7E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3D4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70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84F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FE3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E2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F5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5BBE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B7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E5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4135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538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A15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3FC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45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FD8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A14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6A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5B5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14B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120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5DA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5E3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3DA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426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24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54D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822A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21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166C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D65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36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6C5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D7C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35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6C3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63A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A6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C9C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A41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E9F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D1B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EE9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FA0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A8BB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BF0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B5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C48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4B0F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452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7FE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59D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31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FD3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CED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24B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D37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78E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E2B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211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CF4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F13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851F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E14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7F5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DF5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541D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753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3F94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839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E42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10F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8449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395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5395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42AC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774232">
    <w:pPr>
      <w:pStyle w:val="6"/>
      <w:jc w:val="both"/>
    </w:pPr>
  </w:p>
  <w:p w14:paraId="7E5FAB7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5F77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27F7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BF3702"/>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6998</Words>
  <Characters>9172</Characters>
  <Lines>251</Lines>
  <Paragraphs>70</Paragraphs>
  <TotalTime>0</TotalTime>
  <ScaleCrop>false</ScaleCrop>
  <LinksUpToDate>false</LinksUpToDate>
  <CharactersWithSpaces>9476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2026-05-26T08:00:55Z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