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2"/>
        <w:bidi w:val="0"/>
        <w:jc w:val="center"/>
        <w:rPr>
          <w:rFonts w:hint="default" w:ascii="Times New Roman" w:hAnsi="Times New Roman" w:cs="Times New Roman"/>
          <w:b/>
          <w:bCs w:val="0"/>
          <w:sz w:val="36"/>
          <w:szCs w:val="36"/>
        </w:rPr>
      </w:pPr>
      <w:r>
        <w:rPr>
          <w:rFonts w:hint="eastAsia"/>
          <w:b/>
          <w:bCs/>
          <w:sz w:val="36"/>
          <w:szCs w:val="36"/>
        </w:rPr>
        <w:t xml:space="preserve">Bovine CHL1/L1CAM-2 Elisa Kit</w:t>
      </w:r>
      <w:r>
        <w:rPr>
          <w:rFonts w:hint="default" w:ascii="Times New Roman" w:hAnsi="Times New Roman" w:cs="Times New Roman"/>
        </w:rPr>
        <w:drawing>
          <wp:anchor distT="0" distB="0" distL="114300" distR="114300" simplePos="0" relativeHeight="2516592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1" name="图片 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图片 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检测范围：</w:t>
      </w:r>
      <w:r>
        <w:rPr>
          <w:rFonts w:hint="eastAsia"/>
        </w:rPr>
        <w:t xml:space="preserve">0.156–10ng/ml</w:t>
      </w:r>
    </w:p>
    <w:p>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灵 敏 度：</w:t>
      </w:r>
      <w:r>
        <w:rPr>
          <w:rFonts w:hint="eastAsia"/>
        </w:rPr>
        <w:t xml:space="preserve">0.031ng/ml</w:t>
      </w:r>
    </w:p>
    <w:p>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标准曲线对应浓度(</w:t>
      </w:r>
      <w:r>
        <w:rPr>
          <w:rFonts w:hint="eastAsia"/>
        </w:rPr>
        <w:t xml:space="preserve">ng/ml</w:t>
      </w:r>
      <w:r>
        <w:rPr>
          <w:rFonts w:hint="default" w:ascii="Times New Roman" w:hAnsi="Times New Roman" w:cs="Times New Roman"/>
        </w:rPr>
        <w:t>)</w:t>
      </w:r>
      <w:r>
        <w:rPr>
          <w:rFonts w:hint="default" w:ascii="Times New Roman" w:hAnsi="Times New Roman" w:cs="Times New Roman"/>
          <w:lang w:eastAsia="zh-CN"/>
        </w:rPr>
        <w:t>：</w:t>
      </w:r>
    </w:p>
    <w:tbl>
      <w:tblPr>
        <w:tblStyle w:val="9"/>
        <w:tblW w:w="907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134"/>
        <w:gridCol w:w="1134"/>
        <w:gridCol w:w="1134"/>
        <w:gridCol w:w="1134"/>
        <w:gridCol w:w="1134"/>
        <w:gridCol w:w="1134"/>
        <w:gridCol w:w="1134"/>
        <w:gridCol w:w="1134"/>
      </w:tblGrid>
      <w:tr>
        <w:trPr>
          <w:trHeight w:val="567" w:hRule="atLeast"/>
          <w:jc w:val="center"/>
        </w:trPr>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b/>
                <w:bCs/>
              </w:rPr>
            </w:pPr>
            <w:r>
              <w:rPr>
                <w:rFonts w:hint="default" w:ascii="Times New Roman" w:hAnsi="Times New Roman" w:cs="Times New Roman"/>
                <w:b/>
                <w:bCs/>
              </w:rPr>
              <w:t>S1</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b/>
                <w:bCs/>
              </w:rPr>
            </w:pPr>
            <w:r>
              <w:rPr>
                <w:rFonts w:hint="default" w:ascii="Times New Roman" w:hAnsi="Times New Roman" w:cs="Times New Roman"/>
                <w:b/>
                <w:bCs/>
              </w:rPr>
              <w:t>S2</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b/>
                <w:bCs/>
              </w:rPr>
            </w:pPr>
            <w:r>
              <w:rPr>
                <w:rFonts w:hint="default" w:ascii="Times New Roman" w:hAnsi="Times New Roman" w:cs="Times New Roman"/>
                <w:b/>
                <w:bCs/>
              </w:rPr>
              <w:t>S3</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b/>
                <w:bCs/>
              </w:rPr>
            </w:pPr>
            <w:r>
              <w:rPr>
                <w:rFonts w:hint="default" w:ascii="Times New Roman" w:hAnsi="Times New Roman" w:cs="Times New Roman"/>
                <w:b/>
                <w:bCs/>
              </w:rPr>
              <w:t>S4</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b/>
                <w:bCs/>
              </w:rPr>
            </w:pPr>
            <w:r>
              <w:rPr>
                <w:rFonts w:hint="default" w:ascii="Times New Roman" w:hAnsi="Times New Roman" w:cs="Times New Roman"/>
                <w:b/>
                <w:bCs/>
              </w:rPr>
              <w:t>S5</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b/>
                <w:bCs/>
              </w:rPr>
            </w:pPr>
            <w:r>
              <w:rPr>
                <w:rFonts w:hint="default" w:ascii="Times New Roman" w:hAnsi="Times New Roman" w:cs="Times New Roman"/>
                <w:b/>
                <w:bCs/>
              </w:rPr>
              <w:t>S6</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b/>
                <w:bCs/>
              </w:rPr>
            </w:pPr>
            <w:r>
              <w:rPr>
                <w:rFonts w:hint="default" w:ascii="Times New Roman" w:hAnsi="Times New Roman" w:cs="Times New Roman"/>
                <w:b/>
                <w:bCs/>
              </w:rPr>
              <w:t>S7</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b/>
                <w:bCs/>
              </w:rPr>
            </w:pPr>
            <w:r>
              <w:rPr>
                <w:rFonts w:hint="default" w:ascii="Times New Roman" w:hAnsi="Times New Roman" w:cs="Times New Roman"/>
                <w:b/>
                <w:bCs/>
                <w:lang w:val="en-US" w:eastAsia="zh-CN"/>
              </w:rPr>
              <w:t>B</w:t>
            </w:r>
            <w:r>
              <w:rPr>
                <w:rFonts w:hint="default" w:ascii="Times New Roman" w:hAnsi="Times New Roman" w:cs="Times New Roman"/>
                <w:b/>
                <w:bCs/>
              </w:rPr>
              <w:t>lank</w:t>
            </w:r>
          </w:p>
        </w:tc>
      </w:tr>
      <w:tr>
        <w:trPr>
          <w:trHeight w:val="567" w:hRule="atLeast"/>
          <w:jc w:val="center"/>
        </w:trPr>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 xml:space="preserve">10.0</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 xml:space="preserve">5.0</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 xml:space="preserve">2.5</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 xml:space="preserve">1.25</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 xml:space="preserve">0.62</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 xml:space="preserve">0.31</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 xml:space="preserve">0.156</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default" w:ascii="Times New Roman" w:hAnsi="Times New Roman" w:cs="Times New Roman"/>
              </w:rPr>
              <w:t>0</w:t>
            </w:r>
          </w:p>
        </w:tc>
      </w:tr>
    </w:tbl>
    <w:p>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规  格：48T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default" w:ascii="Times New Roman" w:hAnsi="Times New Roman" w:cs="Times New Roman"/>
          <w:lang w:val="en-US" w:eastAsia="zh-CN"/>
        </w:rPr>
        <w:t>×</w:t>
      </w:r>
      <w:r>
        <w:rPr>
          <w:rFonts w:hint="default" w:ascii="Times New Roman" w:hAnsi="Times New Roman" w:cs="Times New Roman"/>
        </w:rPr>
        <w:t>5</w:t>
      </w:r>
    </w:p>
    <w:p>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保  存：4℃</w:t>
      </w:r>
    </w:p>
    <w:p>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有效期：6个月</w:t>
      </w:r>
    </w:p>
    <w:p>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特异性：系统和其它类似物无明显交叉反应。</w:t>
      </w:r>
    </w:p>
    <w:p>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精密度：板内变异系数均＜9%</w:t>
      </w:r>
      <w:r>
        <w:rPr>
          <w:rFonts w:hint="default" w:ascii="Times New Roman" w:hAnsi="Times New Roman" w:cs="Times New Roman"/>
          <w:lang w:eastAsia="zh-CN"/>
        </w:rPr>
        <w:t>，</w:t>
      </w:r>
      <w:r>
        <w:rPr>
          <w:rFonts w:hint="default" w:ascii="Times New Roman" w:hAnsi="Times New Roman" w:cs="Times New Roman"/>
        </w:rPr>
        <w:t>板间变异系数均＜10%</w:t>
      </w:r>
      <w:r>
        <w:rPr>
          <w:rFonts w:hint="default" w:ascii="Times New Roman" w:hAnsi="Times New Roman" w:cs="Times New Roman"/>
          <w:lang w:eastAsia="zh-CN"/>
        </w:rPr>
        <w:t>。</w:t>
      </w:r>
    </w:p>
    <w:p>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用  途：适用于检测血清、血浆</w:t>
      </w:r>
      <w:r>
        <w:rPr>
          <w:rFonts w:hint="default" w:ascii="Times New Roman" w:hAnsi="Times New Roman" w:cs="Times New Roman"/>
          <w:lang w:eastAsia="zh-CN"/>
        </w:rPr>
        <w:t>、</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lang w:val="en-US" w:eastAsia="zh-CN"/>
        </w:rPr>
        <w:t>细胞上清</w:t>
      </w:r>
      <w:r>
        <w:rPr>
          <w:rFonts w:hint="default" w:ascii="Times New Roman" w:hAnsi="Times New Roman" w:cs="Times New Roman"/>
        </w:rPr>
        <w:t>等</w:t>
      </w:r>
      <w:r>
        <w:rPr>
          <w:rFonts w:hint="default" w:ascii="Times New Roman" w:hAnsi="Times New Roman" w:cs="Times New Roman"/>
          <w:lang w:val="en-US" w:eastAsia="zh-CN"/>
        </w:rPr>
        <w:t>样本</w:t>
      </w:r>
      <w:r>
        <w:rPr>
          <w:rFonts w:hint="default" w:ascii="Times New Roman" w:hAnsi="Times New Roman" w:cs="Times New Roman"/>
        </w:rPr>
        <w:t>，其它样本类型请咨询技术支持。</w:t>
      </w:r>
    </w:p>
    <w:p>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简</w:t>
      </w:r>
      <w:r>
        <w:rPr>
          <w:rFonts w:hint="default" w:ascii="Times New Roman" w:hAnsi="Times New Roman" w:cs="Times New Roman"/>
          <w:lang w:val="en-US" w:eastAsia="zh-CN"/>
        </w:rPr>
        <w:t xml:space="preserve"> </w:t>
      </w:r>
      <w:r>
        <w:rPr>
          <w:rFonts w:hint="default" w:ascii="Times New Roman" w:hAnsi="Times New Roman" w:cs="Times New Roman"/>
        </w:rPr>
        <w:t>介：</w:t>
      </w:r>
      <w:r>
        <w:rPr>
          <w:rFonts w:hint="eastAsia"/>
        </w:rPr>
        <w:t xml:space="preserve">神经细胞粘附分子L1样蛋白也称为L1的同源物（CHL1），是一种在人类中由CHL1基因编码的蛋白质。该蛋白是神经细胞粘附分子L1基因家族的成员。通过FISH，CHL1基因被定位到染色体3p26.1。然而，这种蛋白质具有动态定位，这意味着它不仅在细胞中具有多种作用，而且还具有不同的位置。这种蛋白质也可能在某些癌症的生长中起作用。</w:t>
      </w:r>
    </w:p>
    <w:p>
      <w:pPr>
        <w:ind w:firstLine="441" w:firstLineChars="0"/>
        <w:rPr>
          <w:rFonts w:hint="default" w:ascii="Times New Roman" w:hAnsi="Times New Roman" w:cs="Times New Roman"/>
        </w:rPr>
      </w:pP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color w:val="000000" w:themeColor="text1"/>
          <w14:textFill>
            <w14:solidFill>
              <w14:schemeClr w14:val="tx1"/>
            </w14:solidFill>
          </w14:textFill>
        </w:rPr>
      </w:pPr>
      <w:r>
        <w:rPr>
          <w:rFonts w:hint="default" w:ascii="Times New Roman" w:hAnsi="Times New Roman" w:cs="Times New Roman"/>
          <w:b/>
          <w:bCs/>
          <w:color w:val="000000" w:themeColor="text1"/>
          <w14:textFill>
            <w14:solidFill>
              <w14:schemeClr w14:val="tx1"/>
            </w14:solidFill>
          </w14:textFill>
        </w:rPr>
        <w:t>本试剂盒仅供科学研究使用，不用于临床诊断！使用前务必仔细阅读说明书！</w:t>
      </w:r>
    </w:p>
    <w:p>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p>
    <w:p>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p>
    <w:p>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eastAsia="宋体" w:cs="Times New Roman"/>
          <w:lang w:eastAsia="zh-CN"/>
        </w:rPr>
      </w:pPr>
      <w:r>
        <w:rPr>
          <w:rFonts w:hint="default" w:ascii="Times New Roman" w:hAnsi="Times New Roman" w:cs="Times New Roman"/>
        </w:rPr>
        <w:t>使用前请仔细阅读说明书，如果有任何问题，请通过以下方式联系我们</w:t>
      </w:r>
      <w:r>
        <w:rPr>
          <w:rFonts w:hint="default" w:ascii="Times New Roman" w:hAnsi="Times New Roman" w:cs="Times New Roman"/>
          <w:lang w:eastAsia="zh-CN"/>
        </w:rPr>
        <w:t>：</w:t>
      </w:r>
    </w:p>
    <w:p>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电话：021-60870486</w:t>
      </w:r>
    </w:p>
    <w:p>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邮箱：2715809397@qq.com</w:t>
      </w:r>
    </w:p>
    <w:p>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 xml:space="preserve">网址： </w:t>
      </w:r>
      <w:r>
        <w:rPr>
          <w:rFonts w:hint="default" w:ascii="Times New Roman" w:hAnsi="Times New Roman" w:cs="Times New Roman"/>
        </w:rPr>
        <w:fldChar w:fldCharType="begin"/>
      </w:r>
      <w:r>
        <w:rPr>
          <w:rFonts w:hint="default" w:ascii="Times New Roman" w:hAnsi="Times New Roman" w:cs="Times New Roman"/>
        </w:rPr>
        <w:instrText xml:space="preserve"> HYPERLINK "http://www.kjsbio.com" </w:instrText>
      </w:r>
      <w:r>
        <w:rPr>
          <w:rFonts w:hint="default" w:ascii="Times New Roman" w:hAnsi="Times New Roman" w:cs="Times New Roman"/>
        </w:rPr>
        <w:fldChar w:fldCharType="separate"/>
      </w:r>
      <w:r>
        <w:rPr>
          <w:rFonts w:hint="default" w:ascii="Times New Roman" w:hAnsi="Times New Roman" w:cs="Times New Roman"/>
        </w:rPr>
        <w:t>www.kjsbio.com</w:t>
      </w:r>
      <w:r>
        <w:rPr>
          <w:rFonts w:hint="default" w:ascii="Times New Roman" w:hAnsi="Times New Roman" w:cs="Times New Roman"/>
        </w:rPr>
        <w:fldChar w:fldCharType="end"/>
      </w:r>
    </w:p>
    <w:p>
      <w:pPr>
        <w:keepNext w:val="0"/>
        <w:keepLines w:val="0"/>
        <w:pageBreakBefore w:val="0"/>
        <w:widowControl/>
        <w:kinsoku/>
        <w:wordWrap/>
        <w:overflowPunct/>
        <w:topLinePunct w:val="0"/>
        <w:autoSpaceDE/>
        <w:autoSpaceDN/>
        <w:bidi w:val="0"/>
        <w:adjustRightInd/>
        <w:snapToGrid/>
        <w:spacing w:after="157" w:afterLines="50" w:line="360" w:lineRule="auto"/>
        <w:textAlignment w:val="auto"/>
        <w:rPr>
          <w:rFonts w:hint="default" w:ascii="Times New Roman" w:hAnsi="Times New Roman" w:cs="Times New Roman"/>
        </w:rPr>
      </w:pPr>
      <w:r>
        <w:rPr>
          <w:rFonts w:hint="default" w:ascii="Times New Roman" w:hAnsi="Times New Roman" w:cs="Times New Roman"/>
        </w:rPr>
        <w:t>具体保质期请见试剂盒外包装标签，请在保质期内使用试剂盒。</w:t>
      </w:r>
    </w:p>
    <w:p>
      <w:pPr>
        <w:rPr>
          <w:rFonts w:hint="default" w:ascii="Times New Roman" w:hAnsi="Times New Roman" w:cs="Times New Roman"/>
        </w:rPr>
      </w:pPr>
      <w:r>
        <w:rPr>
          <w:rFonts w:hint="default" w:ascii="Times New Roman" w:hAnsi="Times New Roman" w:cs="Times New Roman"/>
        </w:rPr>
        <w:br w:type="page"/>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643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2" name="图片 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lang w:val="en-US" w:eastAsia="zh-CN"/>
        </w:rPr>
        <w:t>检测原理</w:t>
      </w:r>
      <w:r>
        <w:rPr>
          <w:rFonts w:hint="default" w:ascii="Times New Roman" w:hAnsi="Times New Roman" w:cs="Times New Roman"/>
          <w:b/>
          <w:bCs/>
          <w:sz w:val="28"/>
          <w:szCs w:val="28"/>
        </w:rPr>
        <w:t>：</w:t>
      </w:r>
    </w:p>
    <w:p>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本试剂盒采用双抗体</w:t>
      </w:r>
      <w:r>
        <w:rPr>
          <w:rFonts w:hint="eastAsia" w:ascii="Times New Roman" w:hAnsi="Times New Roman" w:cs="Times New Roman"/>
          <w:lang w:eastAsia="zh-CN"/>
        </w:rPr>
        <w:t>“</w:t>
      </w:r>
      <w:r>
        <w:rPr>
          <w:rFonts w:hint="default" w:ascii="Times New Roman" w:hAnsi="Times New Roman" w:cs="Times New Roman"/>
        </w:rPr>
        <w:t>夹心法</w:t>
      </w:r>
      <w:r>
        <w:rPr>
          <w:rFonts w:hint="eastAsia" w:ascii="Times New Roman" w:hAnsi="Times New Roman" w:cs="Times New Roman"/>
          <w:lang w:eastAsia="zh-CN"/>
        </w:rPr>
        <w:t>”</w:t>
      </w:r>
      <w:r>
        <w:rPr>
          <w:rFonts w:hint="default" w:ascii="Times New Roman" w:hAnsi="Times New Roman" w:cs="Times New Roman"/>
        </w:rPr>
        <w:t>，把捕获抗体包被于酶标板上，加入待检样品及标准品于酶标板反应孔中、捕获抗体捕获对应目的蛋白，生物素标记的检测抗体与目的蛋白结合，检测抗体再和SABC结合，形成捕获抗体-目的蛋白</w:t>
      </w:r>
      <w:r>
        <w:rPr>
          <w:rFonts w:hint="default" w:ascii="Times New Roman" w:hAnsi="Times New Roman" w:cs="Times New Roman"/>
          <w:lang w:val="en-US" w:eastAsia="zh-CN"/>
        </w:rPr>
        <w:t>-</w:t>
      </w:r>
      <w:r>
        <w:rPr>
          <w:rFonts w:hint="default" w:ascii="Times New Roman" w:hAnsi="Times New Roman" w:cs="Times New Roman"/>
        </w:rPr>
        <w:t>检测抗体-SABC复合物，经过洗液洗涤后，未结合的成分均被洗去，加入显色底物TMB，TMB在辣根过氧化物酶的催化下呈现蓝色，加终止液后变成黄色。用酶标仪在450nm波长处测OD值，颜色的深浅和样品中的目的蛋白浓度呈正相关，通过绘制标准曲线计算出样品中目的蛋白的浓度。</w:t>
      </w:r>
    </w:p>
    <w:p>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w:t>
      </w:r>
      <w:r>
        <w:rPr>
          <w:rFonts w:hint="default" w:ascii="Times New Roman" w:hAnsi="Times New Roman" w:cs="Times New Roman"/>
          <w:b/>
          <w:bCs/>
          <w:sz w:val="28"/>
          <w:szCs w:val="28"/>
          <w:lang w:val="en-US" w:eastAsia="zh-CN"/>
        </w:rPr>
        <w:t>组分</w:t>
      </w:r>
      <w:r>
        <w:rPr>
          <w:rFonts w:hint="default" w:ascii="Times New Roman" w:hAnsi="Times New Roman" w:cs="Times New Roman"/>
          <w:b/>
          <w:bCs/>
          <w:sz w:val="28"/>
          <w:szCs w:val="28"/>
        </w:rPr>
        <w:t>：</w:t>
      </w:r>
    </w:p>
    <w:tbl>
      <w:tblPr>
        <w:tblStyle w:val="9"/>
        <w:tblW w:w="907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969"/>
        <w:gridCol w:w="1701"/>
        <w:gridCol w:w="1701"/>
        <w:gridCol w:w="1701"/>
      </w:tblGrid>
      <w:tr>
        <w:trPr>
          <w:trHeight w:val="454" w:hRule="atLeast"/>
        </w:trPr>
        <w:tc>
          <w:tcPr>
            <w:tcW w:w="3969" w:type="dxa"/>
            <w:vMerge w:val="restart"/>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lang w:val="en-US" w:eastAsia="zh-CN"/>
              </w:rPr>
              <w:t>组 分</w:t>
            </w:r>
          </w:p>
        </w:tc>
        <w:tc>
          <w:tcPr>
            <w:tcW w:w="5103" w:type="dxa"/>
            <w:gridSpan w:val="3"/>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cs="Times New Roman"/>
                <w:b/>
                <w:bCs/>
                <w:sz w:val="24"/>
                <w:szCs w:val="24"/>
                <w:lang w:val="en-US" w:eastAsia="zh-CN"/>
              </w:rPr>
              <w:t>规 格</w:t>
            </w:r>
          </w:p>
        </w:tc>
      </w:tr>
      <w:tr>
        <w:trPr>
          <w:trHeight w:val="454" w:hRule="atLeast"/>
        </w:trPr>
        <w:tc>
          <w:tcPr>
            <w:tcW w:w="3969" w:type="dxa"/>
            <w:vMerge w:val="continue"/>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rPr>
            </w:pP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48T</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96T×5</w:t>
            </w:r>
          </w:p>
        </w:tc>
      </w:tr>
      <w:tr>
        <w:trPr>
          <w:trHeight w:val="567" w:hRule="atLeast"/>
        </w:trPr>
        <w:tc>
          <w:tcPr>
            <w:tcW w:w="3969"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酶标板</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w:t>
            </w:r>
            <w:r>
              <w:rPr>
                <w:rFonts w:hint="default" w:ascii="Times New Roman" w:hAnsi="Times New Roman" w:eastAsia="宋体" w:cs="Times New Roman"/>
                <w:sz w:val="21"/>
                <w:szCs w:val="21"/>
              </w:rPr>
              <w:t>Coated Wells</w:t>
            </w:r>
            <w:r>
              <w:rPr>
                <w:rFonts w:hint="default" w:ascii="Times New Roman" w:hAnsi="Times New Roman" w:eastAsia="宋体" w:cs="Times New Roman"/>
                <w:sz w:val="21"/>
                <w:szCs w:val="21"/>
                <w:lang w:val="en-US" w:eastAsia="zh-CN"/>
              </w:rPr>
              <w:t>)</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8孔×6条</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8孔×12条×5</w:t>
            </w:r>
          </w:p>
        </w:tc>
      </w:tr>
      <w:tr>
        <w:trPr>
          <w:trHeight w:val="567" w:hRule="atLeast"/>
        </w:trPr>
        <w:tc>
          <w:tcPr>
            <w:tcW w:w="3969"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标准品（S1）</w:t>
            </w:r>
            <w:r>
              <w:rPr>
                <w:rFonts w:hint="default" w:ascii="Times New Roman" w:hAnsi="Times New Roman" w:eastAsia="宋体" w:cs="Times New Roman"/>
                <w:sz w:val="21"/>
                <w:szCs w:val="21"/>
                <w:lang w:val="en-US" w:eastAsia="zh-CN"/>
              </w:rPr>
              <w:t>(Standard S1)</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5支</w:t>
            </w:r>
          </w:p>
        </w:tc>
      </w:tr>
      <w:tr>
        <w:trPr>
          <w:trHeight w:val="850" w:hRule="atLeast"/>
        </w:trPr>
        <w:tc>
          <w:tcPr>
            <w:tcW w:w="3969"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标准品/样品稀释液</w:t>
            </w:r>
          </w:p>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1"/>
                <w:szCs w:val="21"/>
                <w:lang w:val="en-US" w:eastAsia="zh-CN"/>
              </w:rPr>
              <w:t>(Standard/Sample Diluent)</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trPr>
          <w:trHeight w:val="850" w:hRule="atLeast"/>
        </w:trPr>
        <w:tc>
          <w:tcPr>
            <w:tcW w:w="3969" w:type="dxa"/>
            <w:vAlign w:val="center"/>
          </w:tcPr>
          <w:p>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color w:val="000000"/>
                <w:kern w:val="0"/>
                <w:sz w:val="24"/>
                <w:szCs w:val="24"/>
                <w:lang w:val="en-US" w:eastAsia="zh-CN" w:bidi="ar"/>
              </w:rPr>
              <w:t>生物素标记检测抗体（100×）</w:t>
            </w:r>
            <w:r>
              <w:rPr>
                <w:rFonts w:hint="default" w:ascii="Times New Roman" w:hAnsi="Times New Roman" w:eastAsia="宋体" w:cs="Times New Roman"/>
                <w:sz w:val="21"/>
                <w:szCs w:val="21"/>
                <w:lang w:val="en-US" w:eastAsia="zh-CN"/>
              </w:rPr>
              <w:t>(Concentrated Biotin Antibody 100×)</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trPr>
          <w:trHeight w:val="850" w:hRule="atLeast"/>
        </w:trPr>
        <w:tc>
          <w:tcPr>
            <w:tcW w:w="3969" w:type="dxa"/>
            <w:vAlign w:val="center"/>
          </w:tcPr>
          <w:p>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生物素标记检测抗体稀释液</w:t>
            </w:r>
            <w:r>
              <w:rPr>
                <w:rFonts w:hint="default" w:ascii="Times New Roman" w:hAnsi="Times New Roman" w:eastAsia="宋体" w:cs="Times New Roman"/>
                <w:sz w:val="21"/>
                <w:szCs w:val="21"/>
                <w:lang w:val="en-US" w:eastAsia="zh-CN"/>
              </w:rPr>
              <w:t>(Concentrated Biotin Antibody Diluent)</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trPr>
          <w:trHeight w:val="850" w:hRule="atLeast"/>
        </w:trPr>
        <w:tc>
          <w:tcPr>
            <w:tcW w:w="3969" w:type="dxa"/>
            <w:vAlign w:val="center"/>
          </w:tcPr>
          <w:p>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SABC（100×）</w:t>
            </w:r>
          </w:p>
          <w:p>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sz w:val="21"/>
                <w:szCs w:val="21"/>
                <w:lang w:val="en-US" w:eastAsia="zh-CN"/>
              </w:rPr>
              <w:t>(Strept avidin-biotin complex 100×)</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trPr>
          <w:trHeight w:val="850" w:hRule="atLeast"/>
        </w:trPr>
        <w:tc>
          <w:tcPr>
            <w:tcW w:w="3969" w:type="dxa"/>
            <w:vAlign w:val="center"/>
          </w:tcPr>
          <w:p>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SABC稀释液</w:t>
            </w:r>
          </w:p>
          <w:p>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1"/>
                <w:szCs w:val="21"/>
                <w:lang w:val="en-US" w:eastAsia="zh-CN"/>
              </w:rPr>
              <w:t>(Strept avidin-biotin complex Diluent )</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trPr>
          <w:trHeight w:val="850" w:hRule="atLeast"/>
        </w:trPr>
        <w:tc>
          <w:tcPr>
            <w:tcW w:w="3969"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TMB显色液（A/B）</w:t>
            </w:r>
          </w:p>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1"/>
                <w:szCs w:val="21"/>
                <w:lang w:val="en-US" w:eastAsia="zh-CN"/>
              </w:rPr>
              <w:t>(TMB Chromogen A/B)</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trPr>
          <w:trHeight w:val="567" w:hRule="atLeast"/>
        </w:trPr>
        <w:tc>
          <w:tcPr>
            <w:tcW w:w="3969"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终止液</w:t>
            </w:r>
            <w:r>
              <w:rPr>
                <w:rFonts w:hint="default" w:ascii="Times New Roman" w:hAnsi="Times New Roman" w:eastAsia="宋体" w:cs="Times New Roman"/>
                <w:sz w:val="21"/>
                <w:szCs w:val="21"/>
                <w:lang w:val="en-US" w:eastAsia="zh-CN"/>
              </w:rPr>
              <w:t>(Stop Solution)</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3ml</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6ml×5</w:t>
            </w:r>
          </w:p>
        </w:tc>
      </w:tr>
      <w:tr>
        <w:trPr>
          <w:trHeight w:val="567" w:hRule="atLeast"/>
        </w:trPr>
        <w:tc>
          <w:tcPr>
            <w:tcW w:w="3969"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30×洗涤缓冲液</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(30×Wash Buffer)</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25ml×5</w:t>
            </w:r>
          </w:p>
        </w:tc>
      </w:tr>
      <w:tr>
        <w:trPr>
          <w:trHeight w:val="567" w:hRule="atLeast"/>
        </w:trPr>
        <w:tc>
          <w:tcPr>
            <w:tcW w:w="3969" w:type="dxa"/>
            <w:shd w:val="clear" w:color="auto" w:fill="auto"/>
            <w:vAlign w:val="center"/>
          </w:tcPr>
          <w:p>
            <w:pPr>
              <w:pStyle w:val="7"/>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rPr>
              <w:t>封板膜</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bidi="ar-SA"/>
              </w:rPr>
              <w:t>(Plate Sealer)</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2张</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4张</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15张</w:t>
            </w:r>
          </w:p>
        </w:tc>
      </w:tr>
    </w:tbl>
    <w:p>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试剂盒的储存及有效期：</w:t>
      </w:r>
    </w:p>
    <w:p>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1、未拆封的试剂盒4℃保存，6个月有效。</w:t>
      </w:r>
    </w:p>
    <w:p>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2、拆封后的试剂盒，请将未使用</w:t>
      </w:r>
      <w:r>
        <w:rPr>
          <w:rFonts w:hint="default" w:ascii="Times New Roman" w:hAnsi="Times New Roman" w:cs="Times New Roman"/>
          <w:lang w:val="en-US" w:eastAsia="zh-CN"/>
        </w:rPr>
        <w:t>的</w:t>
      </w:r>
      <w:r>
        <w:rPr>
          <w:rFonts w:hint="default" w:ascii="Times New Roman" w:hAnsi="Times New Roman" w:cs="Times New Roman"/>
        </w:rPr>
        <w:t>酶标条用自封袋装好</w:t>
      </w:r>
      <w:r>
        <w:rPr>
          <w:rFonts w:hint="default" w:ascii="Times New Roman" w:hAnsi="Times New Roman" w:cs="Times New Roman"/>
          <w:lang w:eastAsia="zh-CN"/>
        </w:rPr>
        <w:t>，</w:t>
      </w:r>
      <w:r>
        <w:rPr>
          <w:rFonts w:hint="default" w:ascii="Times New Roman" w:hAnsi="Times New Roman" w:cs="Times New Roman"/>
        </w:rPr>
        <w:t xml:space="preserve">1个月内有效。 </w:t>
      </w:r>
    </w:p>
    <w:p>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提示：</w:t>
      </w:r>
    </w:p>
    <w:p>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使用前请检查试剂盒中试剂的标签和数量与表格是否一致</w:t>
      </w:r>
      <w:r>
        <w:rPr>
          <w:rFonts w:hint="default" w:ascii="Times New Roman" w:hAnsi="Times New Roman" w:cs="Times New Roman"/>
          <w:lang w:eastAsia="zh-CN"/>
        </w:rPr>
        <w:t>。</w:t>
      </w:r>
      <w:r>
        <w:rPr>
          <w:rFonts w:hint="default" w:ascii="Times New Roman" w:hAnsi="Times New Roman" w:cs="Times New Roman"/>
        </w:rPr>
        <w:drawing>
          <wp:anchor distT="0" distB="0" distL="114300" distR="114300" simplePos="0" relativeHeight="25166540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3" name="图片 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图片 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所有试剂瓶盖须旋紧以防止蒸发和微生物的污染</w:t>
      </w:r>
      <w:r>
        <w:rPr>
          <w:rFonts w:hint="default" w:ascii="Times New Roman" w:hAnsi="Times New Roman" w:cs="Times New Roman"/>
          <w:lang w:eastAsia="zh-CN"/>
        </w:rPr>
        <w:t>。</w:t>
      </w:r>
    </w:p>
    <w:p>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rPr>
      </w:pPr>
      <w:r>
        <w:rPr>
          <w:rFonts w:hint="default" w:ascii="Times New Roman" w:hAnsi="Times New Roman" w:cs="Times New Roman"/>
        </w:rPr>
        <w:t>试剂体积以实际发货版说明书为准，相关试剂在分装时会比标签上标明的体积稍多一些，请在使用时量取使用而非直接倒出使用。</w:t>
      </w:r>
    </w:p>
    <w:p>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样本的收集和保存：</w:t>
      </w:r>
    </w:p>
    <w:p>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血清样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将收集于血清分离管中的全血</w:t>
      </w:r>
      <w:r>
        <w:rPr>
          <w:rFonts w:hint="default" w:ascii="Times New Roman" w:hAnsi="Times New Roman" w:cs="Times New Roman"/>
          <w:lang w:val="en-US" w:eastAsia="zh-CN"/>
        </w:rPr>
        <w:t>样</w:t>
      </w:r>
      <w:r>
        <w:rPr>
          <w:rFonts w:hint="default" w:ascii="Times New Roman" w:hAnsi="Times New Roman" w:cs="Times New Roman"/>
        </w:rPr>
        <w:t>本在室温放置2</w:t>
      </w:r>
      <w:r>
        <w:rPr>
          <w:rFonts w:hint="default" w:ascii="Times New Roman" w:hAnsi="Times New Roman" w:cs="Times New Roman"/>
          <w:lang w:val="en-US" w:eastAsia="zh-CN"/>
        </w:rPr>
        <w:t>h</w:t>
      </w:r>
      <w:r>
        <w:rPr>
          <w:rFonts w:hint="default" w:ascii="Times New Roman" w:hAnsi="Times New Roman" w:cs="Times New Roman"/>
        </w:rPr>
        <w:t>或4℃过夜，1,000×g离心1</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血浆样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用EDTA或肝素钠抗凝管采集</w:t>
      </w:r>
      <w:r>
        <w:rPr>
          <w:rFonts w:hint="default" w:ascii="Times New Roman" w:hAnsi="Times New Roman" w:cs="Times New Roman"/>
          <w:lang w:val="en-US" w:eastAsia="zh-CN"/>
        </w:rPr>
        <w:t>样</w:t>
      </w:r>
      <w:r>
        <w:rPr>
          <w:rFonts w:hint="default" w:ascii="Times New Roman" w:hAnsi="Times New Roman" w:cs="Times New Roman"/>
        </w:rPr>
        <w:t>本，并将</w:t>
      </w:r>
      <w:r>
        <w:rPr>
          <w:rFonts w:hint="default" w:ascii="Times New Roman" w:hAnsi="Times New Roman" w:cs="Times New Roman"/>
          <w:lang w:val="en-US" w:eastAsia="zh-CN"/>
        </w:rPr>
        <w:t>样</w:t>
      </w:r>
      <w:r>
        <w:rPr>
          <w:rFonts w:hint="default" w:ascii="Times New Roman" w:hAnsi="Times New Roman" w:cs="Times New Roman"/>
        </w:rPr>
        <w:t>本在采集后的30</w:t>
      </w:r>
      <w:r>
        <w:rPr>
          <w:rFonts w:hint="default" w:ascii="Times New Roman" w:hAnsi="Times New Roman" w:cs="Times New Roman"/>
          <w:lang w:val="en-US" w:eastAsia="zh-CN"/>
        </w:rPr>
        <w:t>min</w:t>
      </w:r>
      <w:r>
        <w:rPr>
          <w:rFonts w:hint="default" w:ascii="Times New Roman" w:hAnsi="Times New Roman" w:cs="Times New Roman"/>
        </w:rPr>
        <w:t>内于4℃</w:t>
      </w:r>
      <w:r>
        <w:rPr>
          <w:rFonts w:hint="default" w:ascii="Times New Roman" w:hAnsi="Times New Roman" w:cs="Times New Roman"/>
          <w:lang w:eastAsia="zh-CN"/>
        </w:rPr>
        <w:t>，</w:t>
      </w:r>
      <w:r>
        <w:rPr>
          <w:rFonts w:hint="default" w:ascii="Times New Roman" w:hAnsi="Times New Roman" w:cs="Times New Roman"/>
        </w:rPr>
        <w:t>1,000×g离心15</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lang w:eastAsia="zh-CN"/>
        </w:rPr>
      </w:pPr>
      <w:r>
        <w:rPr>
          <w:rFonts w:hint="default" w:ascii="Times New Roman" w:hAnsi="Times New Roman" w:cs="Times New Roman"/>
          <w:lang w:val="en-US" w:eastAsia="zh-CN"/>
        </w:rPr>
        <w:t>3、</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rPr>
        <w:t>在预冷PBS</w:t>
      </w:r>
      <w:r>
        <w:rPr>
          <w:rFonts w:hint="default" w:ascii="Times New Roman" w:hAnsi="Times New Roman" w:cs="Times New Roman"/>
          <w:lang w:val="en-US" w:eastAsia="zh-CN"/>
        </w:rPr>
        <w:t xml:space="preserve"> </w:t>
      </w:r>
      <w:r>
        <w:rPr>
          <w:rFonts w:hint="default" w:ascii="Times New Roman" w:hAnsi="Times New Roman" w:cs="Times New Roman"/>
        </w:rPr>
        <w:t>(0.01mol/L</w:t>
      </w:r>
      <w:r>
        <w:rPr>
          <w:rFonts w:hint="default" w:ascii="Times New Roman" w:hAnsi="Times New Roman" w:cs="Times New Roman"/>
          <w:lang w:eastAsia="zh-CN"/>
        </w:rPr>
        <w:t>，</w:t>
      </w:r>
      <w:r>
        <w:rPr>
          <w:rFonts w:hint="default" w:ascii="Times New Roman" w:hAnsi="Times New Roman" w:cs="Times New Roman"/>
        </w:rPr>
        <w:t>pH=7.0</w:t>
      </w:r>
      <w:r>
        <w:rPr>
          <w:rFonts w:hint="default" w:ascii="Times New Roman" w:hAnsi="Times New Roman" w:cs="Times New Roman"/>
          <w:lang w:val="en-US" w:eastAsia="zh-CN"/>
        </w:rPr>
        <w:t>-</w:t>
      </w:r>
      <w:r>
        <w:rPr>
          <w:rFonts w:hint="default" w:ascii="Times New Roman" w:hAnsi="Times New Roman" w:cs="Times New Roman"/>
        </w:rPr>
        <w:t>7.2)中清洗去除血液，低温</w:t>
      </w:r>
      <w:r>
        <w:rPr>
          <w:rFonts w:hint="default" w:ascii="Times New Roman" w:hAnsi="Times New Roman" w:cs="Times New Roman"/>
          <w:lang w:val="en-US" w:eastAsia="zh-CN"/>
        </w:rPr>
        <w:t>剪切样</w:t>
      </w:r>
      <w:r>
        <w:rPr>
          <w:rFonts w:hint="default" w:ascii="Times New Roman" w:hAnsi="Times New Roman" w:cs="Times New Roman"/>
        </w:rPr>
        <w:t>本后，准确称取组织重量。按重量(g):体积(</w:t>
      </w:r>
      <w:r>
        <w:rPr>
          <w:rFonts w:hint="default" w:ascii="Times New Roman" w:hAnsi="Times New Roman" w:cs="Times New Roman"/>
          <w:lang w:val="en-US" w:eastAsia="zh-CN"/>
        </w:rPr>
        <w:t>ml</w:t>
      </w:r>
      <w:r>
        <w:rPr>
          <w:rFonts w:hint="default" w:ascii="Times New Roman" w:hAnsi="Times New Roman" w:cs="Times New Roman"/>
        </w:rPr>
        <w:t>)=1:9的比例，加入9倍体积的匀浆介质PBS</w:t>
      </w:r>
      <w:r>
        <w:rPr>
          <w:rFonts w:hint="default" w:ascii="Times New Roman" w:hAnsi="Times New Roman" w:cs="Times New Roman"/>
          <w:lang w:eastAsia="zh-CN"/>
        </w:rPr>
        <w:t>，</w:t>
      </w:r>
      <w:r>
        <w:rPr>
          <w:rFonts w:hint="default" w:ascii="Times New Roman" w:hAnsi="Times New Roman" w:cs="Times New Roman"/>
        </w:rPr>
        <w:t>用手工或匀浆器将</w:t>
      </w:r>
      <w:r>
        <w:rPr>
          <w:rFonts w:hint="default" w:ascii="Times New Roman" w:hAnsi="Times New Roman" w:cs="Times New Roman"/>
          <w:lang w:val="en-US" w:eastAsia="zh-CN"/>
        </w:rPr>
        <w:t>样</w:t>
      </w:r>
      <w:r>
        <w:rPr>
          <w:rFonts w:hint="default" w:ascii="Times New Roman" w:hAnsi="Times New Roman" w:cs="Times New Roman"/>
        </w:rPr>
        <w:t>本充分匀浆。3000×g离心15</w:t>
      </w:r>
      <w:r>
        <w:rPr>
          <w:rFonts w:hint="default" w:ascii="Times New Roman" w:hAnsi="Times New Roman" w:cs="Times New Roman"/>
          <w:lang w:val="en-US" w:eastAsia="zh-CN"/>
        </w:rPr>
        <w:t>min</w:t>
      </w:r>
      <w:r>
        <w:rPr>
          <w:rFonts w:hint="default" w:ascii="Times New Roman" w:hAnsi="Times New Roman" w:cs="Times New Roman"/>
        </w:rPr>
        <w:t>，弃沉淀</w:t>
      </w:r>
      <w:r>
        <w:rPr>
          <w:rFonts w:hint="default" w:ascii="Times New Roman" w:hAnsi="Times New Roman" w:cs="Times New Roman"/>
          <w:lang w:eastAsia="zh-CN"/>
        </w:rPr>
        <w:t>，</w:t>
      </w:r>
      <w:r>
        <w:rPr>
          <w:rFonts w:hint="default" w:ascii="Times New Roman" w:hAnsi="Times New Roman" w:cs="Times New Roman"/>
        </w:rPr>
        <w:t>仔细收集匀浆上清</w:t>
      </w:r>
      <w:r>
        <w:rPr>
          <w:rFonts w:hint="default" w:ascii="Times New Roman" w:hAnsi="Times New Roman" w:cs="Times New Roman"/>
          <w:lang w:eastAsia="zh-CN"/>
        </w:rPr>
        <w:t>，</w:t>
      </w:r>
      <w:r>
        <w:rPr>
          <w:rFonts w:hint="default" w:ascii="Times New Roman" w:hAnsi="Times New Roman" w:cs="Times New Roman"/>
        </w:rPr>
        <w:t>≤-20℃冷冻保存，避免反复冻融</w:t>
      </w:r>
      <w:r>
        <w:rPr>
          <w:rFonts w:hint="default" w:ascii="Times New Roman" w:hAnsi="Times New Roman" w:cs="Times New Roman"/>
          <w:lang w:eastAsia="zh-CN"/>
        </w:rPr>
        <w:t>。</w:t>
      </w:r>
    </w:p>
    <w:p>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细胞裂解液</w:t>
      </w:r>
      <w:r>
        <w:rPr>
          <w:rFonts w:hint="default" w:ascii="Times New Roman" w:hAnsi="Times New Roman" w:cs="Times New Roman"/>
          <w:lang w:eastAsia="zh-CN"/>
        </w:rPr>
        <w:t>：</w:t>
      </w:r>
      <w:r>
        <w:rPr>
          <w:rFonts w:hint="default" w:ascii="Times New Roman" w:hAnsi="Times New Roman" w:cs="Times New Roman"/>
        </w:rPr>
        <w:t>贴壁细胞用</w:t>
      </w:r>
      <w:r>
        <w:rPr>
          <w:rFonts w:hint="default" w:ascii="Times New Roman" w:hAnsi="Times New Roman" w:cs="Times New Roman"/>
          <w:lang w:val="en-US" w:eastAsia="zh-CN"/>
        </w:rPr>
        <w:t>预</w:t>
      </w:r>
      <w:r>
        <w:rPr>
          <w:rFonts w:hint="default" w:ascii="Times New Roman" w:hAnsi="Times New Roman" w:cs="Times New Roman"/>
        </w:rPr>
        <w:t>冷PBS清洗后用胰蛋白酶消化，1,000×g离心</w:t>
      </w:r>
      <w:r>
        <w:rPr>
          <w:rFonts w:hint="default" w:ascii="Times New Roman" w:hAnsi="Times New Roman" w:cs="Times New Roman"/>
          <w:lang w:val="en-US" w:eastAsia="zh-CN"/>
        </w:rPr>
        <w:t>5min</w:t>
      </w:r>
      <w:r>
        <w:rPr>
          <w:rFonts w:hint="default" w:ascii="Times New Roman" w:hAnsi="Times New Roman" w:cs="Times New Roman"/>
        </w:rPr>
        <w:t>后收集</w:t>
      </w:r>
      <w:r>
        <w:rPr>
          <w:rFonts w:hint="default" w:ascii="Times New Roman" w:hAnsi="Times New Roman" w:cs="Times New Roman"/>
          <w:lang w:val="en-US" w:eastAsia="zh-CN"/>
        </w:rPr>
        <w:t>细胞沉淀</w:t>
      </w:r>
      <w:r>
        <w:rPr>
          <w:rFonts w:hint="default" w:ascii="Times New Roman" w:hAnsi="Times New Roman" w:cs="Times New Roman"/>
          <w:lang w:eastAsia="zh-CN"/>
        </w:rPr>
        <w:t>（</w:t>
      </w:r>
      <w:r>
        <w:rPr>
          <w:rFonts w:hint="default" w:ascii="Times New Roman" w:hAnsi="Times New Roman" w:cs="Times New Roman"/>
        </w:rPr>
        <w:t>悬浮细胞通过离心直接收集</w:t>
      </w:r>
      <w:r>
        <w:rPr>
          <w:rFonts w:hint="default" w:ascii="Times New Roman" w:hAnsi="Times New Roman" w:cs="Times New Roman"/>
          <w:lang w:eastAsia="zh-CN"/>
        </w:rPr>
        <w:t>）</w:t>
      </w:r>
      <w:r>
        <w:rPr>
          <w:rFonts w:hint="default" w:ascii="Times New Roman" w:hAnsi="Times New Roman" w:cs="Times New Roman"/>
        </w:rPr>
        <w:t>，将收集到的细胞用</w:t>
      </w:r>
      <w:r>
        <w:rPr>
          <w:rFonts w:hint="default" w:ascii="Times New Roman" w:hAnsi="Times New Roman" w:cs="Times New Roman"/>
          <w:lang w:val="en-US" w:eastAsia="zh-CN"/>
        </w:rPr>
        <w:t>预冷</w:t>
      </w:r>
      <w:r>
        <w:rPr>
          <w:rFonts w:hint="default" w:ascii="Times New Roman" w:hAnsi="Times New Roman" w:cs="Times New Roman"/>
        </w:rPr>
        <w:t>PBS</w:t>
      </w:r>
      <w:r>
        <w:rPr>
          <w:rFonts w:hint="default" w:ascii="Times New Roman" w:hAnsi="Times New Roman" w:cs="Times New Roman"/>
          <w:lang w:val="en-US" w:eastAsia="zh-CN"/>
        </w:rPr>
        <w:t>清</w:t>
      </w:r>
      <w:r>
        <w:rPr>
          <w:rFonts w:hint="default" w:ascii="Times New Roman" w:hAnsi="Times New Roman" w:cs="Times New Roman"/>
        </w:rPr>
        <w:t>洗3次</w:t>
      </w:r>
      <w:r>
        <w:rPr>
          <w:rFonts w:hint="default" w:ascii="Times New Roman" w:hAnsi="Times New Roman" w:cs="Times New Roman"/>
          <w:lang w:eastAsia="zh-CN"/>
        </w:rPr>
        <w:t>，</w:t>
      </w:r>
      <w:r>
        <w:rPr>
          <w:rFonts w:hint="default" w:ascii="Times New Roman" w:hAnsi="Times New Roman" w:cs="Times New Roman"/>
        </w:rPr>
        <w:t>用PBS稀释细胞</w:t>
      </w:r>
      <w:r>
        <w:rPr>
          <w:rFonts w:hint="default" w:ascii="Times New Roman" w:hAnsi="Times New Roman" w:cs="Times New Roman"/>
          <w:lang w:val="en-US" w:eastAsia="zh-CN"/>
        </w:rPr>
        <w:t>悬液至</w:t>
      </w:r>
      <w:r>
        <w:rPr>
          <w:rFonts w:hint="default" w:ascii="Times New Roman" w:hAnsi="Times New Roman" w:cs="Times New Roman"/>
        </w:rPr>
        <w:t>细胞浓度达到1</w:t>
      </w:r>
      <w:r>
        <w:rPr>
          <w:rFonts w:hint="default" w:ascii="Times New Roman" w:hAnsi="Times New Roman" w:cs="Times New Roman"/>
          <w:lang w:val="en-US" w:eastAsia="zh-CN"/>
        </w:rPr>
        <w:t>×10</w:t>
      </w:r>
      <w:r>
        <w:rPr>
          <w:rFonts w:hint="default" w:ascii="Times New Roman" w:hAnsi="Times New Roman" w:cs="Times New Roman"/>
          <w:vertAlign w:val="superscript"/>
          <w:lang w:val="en-US" w:eastAsia="zh-CN"/>
        </w:rPr>
        <w:t>7</w:t>
      </w:r>
      <w:r>
        <w:rPr>
          <w:rFonts w:hint="default" w:ascii="Times New Roman" w:hAnsi="Times New Roman" w:cs="Times New Roman"/>
          <w:lang w:val="en-US" w:eastAsia="zh-CN"/>
        </w:rPr>
        <w:t>cells</w:t>
      </w:r>
      <w:r>
        <w:rPr>
          <w:rFonts w:hint="default" w:ascii="Times New Roman" w:hAnsi="Times New Roman" w:cs="Times New Roman"/>
        </w:rPr>
        <w:t>/ml左右。通过超声破碎或反复冻融使细胞破坏并</w:t>
      </w:r>
      <w:r>
        <w:rPr>
          <w:rFonts w:hint="default" w:ascii="Times New Roman" w:hAnsi="Times New Roman" w:cs="Times New Roman"/>
          <w:lang w:val="en-US" w:eastAsia="zh-CN"/>
        </w:rPr>
        <w:t>释放出</w:t>
      </w:r>
      <w:r>
        <w:rPr>
          <w:rFonts w:hint="default" w:ascii="Times New Roman" w:hAnsi="Times New Roman" w:cs="Times New Roman"/>
        </w:rPr>
        <w:t>细胞内</w:t>
      </w:r>
      <w:r>
        <w:rPr>
          <w:rFonts w:hint="default" w:ascii="Times New Roman" w:hAnsi="Times New Roman" w:cs="Times New Roman"/>
          <w:lang w:val="en-US" w:eastAsia="zh-CN"/>
        </w:rPr>
        <w:t>成分</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lang w:eastAsia="zh-CN"/>
        </w:rPr>
        <w:t>、</w:t>
      </w:r>
      <w:r>
        <w:rPr>
          <w:rFonts w:hint="default" w:ascii="Times New Roman" w:hAnsi="Times New Roman" w:cs="Times New Roman"/>
        </w:rPr>
        <w:t>细胞培养上清或其它生物体液</w:t>
      </w:r>
      <w:r>
        <w:rPr>
          <w:rFonts w:hint="default" w:ascii="Times New Roman" w:hAnsi="Times New Roman" w:cs="Times New Roman"/>
          <w:lang w:val="en-US" w:eastAsia="zh-CN"/>
        </w:rPr>
        <w:t>样</w:t>
      </w:r>
      <w:r>
        <w:rPr>
          <w:rFonts w:hint="default" w:ascii="Times New Roman" w:hAnsi="Times New Roman" w:cs="Times New Roman"/>
        </w:rPr>
        <w:t>本</w:t>
      </w:r>
      <w:r>
        <w:rPr>
          <w:rFonts w:hint="default" w:ascii="Times New Roman" w:hAnsi="Times New Roman" w:cs="Times New Roman"/>
          <w:lang w:eastAsia="zh-CN"/>
        </w:rPr>
        <w:t>：</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pPr>
        <w:keepNext w:val="0"/>
        <w:keepLines w:val="0"/>
        <w:pageBreakBefore w:val="0"/>
        <w:widowControl w:val="0"/>
        <w:kinsoku/>
        <w:wordWrap/>
        <w:overflowPunct/>
        <w:topLinePunct w:val="0"/>
        <w:autoSpaceDE/>
        <w:autoSpaceDN/>
        <w:bidi w:val="0"/>
        <w:adjustRightInd/>
        <w:snapToGrid/>
        <w:spacing w:before="157" w:beforeLines="5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lang w:val="en-US" w:eastAsia="zh-CN"/>
        </w:rPr>
        <w:t>提示：</w:t>
      </w:r>
    </w:p>
    <w:p>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本均需密封保存，4℃保存不超过1周，≤-20℃保存不超过1个月。</w:t>
      </w:r>
    </w:p>
    <w:p>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本出现溶血会影响最后检测结果，故溶血</w:t>
      </w:r>
      <w:r>
        <w:rPr>
          <w:rFonts w:hint="default" w:ascii="Times New Roman" w:hAnsi="Times New Roman" w:cs="Times New Roman"/>
          <w:lang w:val="en-US" w:eastAsia="zh-CN"/>
        </w:rPr>
        <w:t>样</w:t>
      </w:r>
      <w:r>
        <w:rPr>
          <w:rFonts w:hint="default" w:ascii="Times New Roman" w:hAnsi="Times New Roman" w:cs="Times New Roman"/>
        </w:rPr>
        <w:t>本不宜进行ELISA检测。</w:t>
      </w:r>
    </w:p>
    <w:p>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eastAsia="zh-CN"/>
        </w:rPr>
      </w:pPr>
      <w:r>
        <w:rPr>
          <w:rFonts w:hint="default" w:ascii="Times New Roman" w:hAnsi="Times New Roman" w:cs="Times New Roman"/>
          <w:b/>
          <w:bCs/>
          <w:sz w:val="28"/>
          <w:szCs w:val="28"/>
        </w:rPr>
        <w:t>样本稀释原则</w:t>
      </w:r>
      <w:r>
        <w:rPr>
          <w:rFonts w:hint="default" w:ascii="Times New Roman" w:hAnsi="Times New Roman" w:cs="Times New Roman"/>
          <w:b/>
          <w:bCs/>
          <w:sz w:val="28"/>
          <w:szCs w:val="28"/>
          <w:lang w:eastAsia="zh-CN"/>
        </w:rPr>
        <w:t>：</w:t>
      </w:r>
    </w:p>
    <w:p>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使用者应估计样</w:t>
      </w:r>
      <w:r>
        <w:rPr>
          <w:rFonts w:hint="default" w:ascii="Times New Roman" w:hAnsi="Times New Roman" w:cs="Times New Roman"/>
          <w:lang w:val="en-US" w:eastAsia="zh-CN"/>
        </w:rPr>
        <w:t>本</w:t>
      </w:r>
      <w:r>
        <w:rPr>
          <w:rFonts w:hint="default" w:ascii="Times New Roman" w:hAnsi="Times New Roman" w:cs="Times New Roman"/>
        </w:rPr>
        <w:t>待测因子的含量，来决定是否对样本进行适当的稀释检测，以便使样</w:t>
      </w:r>
      <w:r>
        <w:rPr>
          <w:rFonts w:hint="default" w:ascii="Times New Roman" w:hAnsi="Times New Roman" w:cs="Times New Roman"/>
          <w:lang w:val="en-US" w:eastAsia="zh-CN"/>
        </w:rPr>
        <w:t>本</w:t>
      </w:r>
      <w:r>
        <w:rPr>
          <w:rFonts w:hint="default" w:ascii="Times New Roman" w:hAnsi="Times New Roman" w:cs="Times New Roman"/>
        </w:rPr>
        <w:t>中目的蛋白的浓度处于本试剂盒的最佳检测范围内。</w:t>
      </w:r>
    </w:p>
    <w:p>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参考稀释方案如下</w:t>
      </w:r>
      <w:r>
        <w:rPr>
          <w:rFonts w:hint="default" w:ascii="Times New Roman" w:hAnsi="Times New Roman" w:cs="Times New Roman"/>
          <w:b/>
          <w:bCs/>
          <w:sz w:val="24"/>
          <w:szCs w:val="24"/>
          <w:lang w:val="en-US" w:eastAsia="zh-CN"/>
        </w:rPr>
        <w: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待测样本目的蛋白含量超低的</w:t>
      </w:r>
      <w:r>
        <w:rPr>
          <w:rFonts w:hint="default" w:ascii="Times New Roman" w:hAnsi="Times New Roman" w:cs="Times New Roman"/>
          <w:lang w:eastAsia="zh-CN"/>
        </w:rPr>
        <w:t>——</w:t>
      </w:r>
      <w:r>
        <w:rPr>
          <w:rFonts w:hint="default" w:ascii="Times New Roman" w:hAnsi="Times New Roman" w:cs="Times New Roman"/>
        </w:rPr>
        <w:t>浓缩后检测。</w:t>
      </w:r>
      <w:r>
        <w:rPr>
          <w:rFonts w:hint="default" w:ascii="Times New Roman" w:hAnsi="Times New Roman" w:cs="Times New Roman"/>
        </w:rPr>
        <w:drawing>
          <wp:anchor distT="0" distB="0" distL="114300" distR="114300" simplePos="0" relativeHeight="25166643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4" name="图片 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图片 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待测样本目的蛋白含量低的</w:t>
      </w:r>
      <w:r>
        <w:rPr>
          <w:rFonts w:hint="default" w:ascii="Times New Roman" w:hAnsi="Times New Roman" w:cs="Times New Roman"/>
          <w:lang w:eastAsia="zh-CN"/>
        </w:rPr>
        <w:t>——</w:t>
      </w:r>
      <w:r>
        <w:rPr>
          <w:rFonts w:hint="default" w:ascii="Times New Roman" w:hAnsi="Times New Roman" w:cs="Times New Roman"/>
        </w:rPr>
        <w:t>直接原液检测。</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待测样本目的蛋白含量中的</w:t>
      </w:r>
      <w:r>
        <w:rPr>
          <w:rFonts w:hint="default" w:ascii="Times New Roman" w:hAnsi="Times New Roman" w:cs="Times New Roman"/>
          <w:lang w:eastAsia="zh-CN"/>
        </w:rPr>
        <w:t>——</w:t>
      </w:r>
      <w:r>
        <w:rPr>
          <w:rFonts w:hint="default" w:ascii="Times New Roman" w:hAnsi="Times New Roman" w:cs="Times New Roman"/>
        </w:rPr>
        <w:t>稀释后检测。一般按1:10稀释，270</w:t>
      </w:r>
      <w:r>
        <w:rPr>
          <w:rFonts w:hint="default" w:ascii="Times New Roman" w:hAnsi="Times New Roman" w:eastAsia="宋体" w:cs="Times New Roman"/>
        </w:rPr>
        <w:t>μ</w:t>
      </w:r>
      <w:r>
        <w:rPr>
          <w:rFonts w:hint="default" w:ascii="Times New Roman" w:hAnsi="Times New Roman" w:cs="Times New Roman"/>
        </w:rPr>
        <w:t>l稀释液加30</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待测样本目的蛋白含量高的</w:t>
      </w:r>
      <w:r>
        <w:rPr>
          <w:rFonts w:hint="default" w:ascii="Times New Roman" w:hAnsi="Times New Roman" w:cs="Times New Roman"/>
          <w:lang w:eastAsia="zh-CN"/>
        </w:rPr>
        <w:t>——</w:t>
      </w:r>
      <w:r>
        <w:rPr>
          <w:rFonts w:hint="default" w:ascii="Times New Roman" w:hAnsi="Times New Roman" w:cs="Times New Roman"/>
        </w:rPr>
        <w:t>稀释后检测。一般按1:100稀释，297</w:t>
      </w:r>
      <w:r>
        <w:rPr>
          <w:rFonts w:hint="default" w:ascii="Times New Roman" w:hAnsi="Times New Roman" w:eastAsia="宋体" w:cs="Times New Roman"/>
        </w:rPr>
        <w:t>μ</w:t>
      </w:r>
      <w:r>
        <w:rPr>
          <w:rFonts w:hint="default" w:ascii="Times New Roman" w:hAnsi="Times New Roman" w:cs="Times New Roman"/>
        </w:rPr>
        <w:t>l稀释液加3</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待测样本目的蛋白含量超高的</w:t>
      </w:r>
      <w:r>
        <w:rPr>
          <w:rFonts w:hint="default" w:ascii="Times New Roman" w:hAnsi="Times New Roman" w:cs="Times New Roman"/>
          <w:lang w:eastAsia="zh-CN"/>
        </w:rPr>
        <w:t>——</w:t>
      </w:r>
      <w:r>
        <w:rPr>
          <w:rFonts w:hint="default" w:ascii="Times New Roman" w:hAnsi="Times New Roman" w:cs="Times New Roman"/>
        </w:rPr>
        <w:t>稀释后检测。一般按1:1000-10000稀释。</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1000倍稀释</w:t>
      </w:r>
      <w:r>
        <w:rPr>
          <w:rFonts w:hint="default" w:ascii="Times New Roman" w:hAnsi="Times New Roman" w:cs="Times New Roman"/>
          <w:lang w:eastAsia="zh-CN"/>
        </w:rPr>
        <w:t>：</w:t>
      </w:r>
      <w:r>
        <w:rPr>
          <w:rFonts w:hint="default" w:ascii="Times New Roman" w:hAnsi="Times New Roman" w:cs="Times New Roman"/>
        </w:rPr>
        <w:t>分两步稀释。取5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w:t>
      </w:r>
      <w:r>
        <w:rPr>
          <w:rFonts w:hint="default" w:ascii="Times New Roman" w:hAnsi="Times New Roman" w:cs="Times New Roman"/>
        </w:rPr>
        <w:t>移至95</w:t>
      </w:r>
      <w:r>
        <w:rPr>
          <w:rFonts w:hint="default" w:ascii="Times New Roman" w:hAnsi="Times New Roman" w:eastAsia="宋体" w:cs="Times New Roman"/>
        </w:rPr>
        <w:t>μ</w:t>
      </w:r>
      <w:r>
        <w:rPr>
          <w:rFonts w:hint="default" w:ascii="Times New Roman" w:hAnsi="Times New Roman" w:cs="Times New Roman"/>
        </w:rPr>
        <w:t>l稀释液内为A液，为20倍稀释，再取A液5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转移</w:t>
      </w:r>
      <w:r>
        <w:rPr>
          <w:rFonts w:hint="default" w:ascii="Times New Roman" w:hAnsi="Times New Roman" w:cs="Times New Roman"/>
        </w:rPr>
        <w:t>至245</w:t>
      </w:r>
      <w:r>
        <w:rPr>
          <w:rFonts w:hint="default" w:ascii="Times New Roman" w:hAnsi="Times New Roman" w:eastAsia="宋体" w:cs="Times New Roman"/>
        </w:rPr>
        <w:t>μ</w:t>
      </w:r>
      <w:r>
        <w:rPr>
          <w:rFonts w:hint="default" w:ascii="Times New Roman" w:hAnsi="Times New Roman" w:cs="Times New Roman"/>
        </w:rPr>
        <w:t>l稀释液内，为50倍稀释，总共稀释1000倍。</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10000倍稀释</w:t>
      </w:r>
      <w:r>
        <w:rPr>
          <w:rFonts w:hint="default" w:ascii="Times New Roman" w:hAnsi="Times New Roman" w:cs="Times New Roman"/>
          <w:lang w:eastAsia="zh-CN"/>
        </w:rPr>
        <w:t>：</w:t>
      </w:r>
      <w:r>
        <w:rPr>
          <w:rFonts w:hint="default" w:ascii="Times New Roman" w:hAnsi="Times New Roman" w:cs="Times New Roman"/>
          <w:lang w:val="en-US" w:eastAsia="zh-CN"/>
        </w:rPr>
        <w:t>分</w:t>
      </w:r>
      <w:r>
        <w:rPr>
          <w:rFonts w:hint="default" w:ascii="Times New Roman" w:hAnsi="Times New Roman" w:cs="Times New Roman"/>
        </w:rPr>
        <w:t>三步稀释。取</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转移至</w:t>
      </w:r>
      <w:r>
        <w:rPr>
          <w:rFonts w:hint="default" w:ascii="Times New Roman" w:hAnsi="Times New Roman" w:cs="Times New Roman"/>
        </w:rPr>
        <w:t>195</w:t>
      </w:r>
      <w:r>
        <w:rPr>
          <w:rFonts w:hint="default" w:ascii="Times New Roman" w:hAnsi="Times New Roman" w:eastAsia="宋体" w:cs="Times New Roman"/>
        </w:rPr>
        <w:t>μ</w:t>
      </w:r>
      <w:r>
        <w:rPr>
          <w:rFonts w:hint="default" w:ascii="Times New Roman" w:hAnsi="Times New Roman" w:cs="Times New Roman"/>
        </w:rPr>
        <w:t>l稀释液内为A液，40倍稀释；再取A液</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移至245</w:t>
      </w:r>
      <w:r>
        <w:rPr>
          <w:rFonts w:hint="default" w:ascii="Times New Roman" w:hAnsi="Times New Roman" w:eastAsia="宋体" w:cs="Times New Roman"/>
        </w:rPr>
        <w:t>μ</w:t>
      </w:r>
      <w:r>
        <w:rPr>
          <w:rFonts w:hint="default" w:ascii="Times New Roman" w:hAnsi="Times New Roman" w:cs="Times New Roman"/>
        </w:rPr>
        <w:t>l稀释液内为B液，50倍稀释</w:t>
      </w:r>
      <w:r>
        <w:rPr>
          <w:rFonts w:hint="default" w:ascii="Times New Roman" w:hAnsi="Times New Roman" w:cs="Times New Roman"/>
          <w:lang w:eastAsia="zh-CN"/>
        </w:rPr>
        <w:t>；</w:t>
      </w:r>
      <w:r>
        <w:rPr>
          <w:rFonts w:hint="default" w:ascii="Times New Roman" w:hAnsi="Times New Roman" w:cs="Times New Roman"/>
        </w:rPr>
        <w:t>最后取B液60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移至240</w:t>
      </w:r>
      <w:r>
        <w:rPr>
          <w:rFonts w:hint="default" w:ascii="Times New Roman" w:hAnsi="Times New Roman" w:eastAsia="宋体" w:cs="Times New Roman"/>
        </w:rPr>
        <w:t>μ</w:t>
      </w:r>
      <w:r>
        <w:rPr>
          <w:rFonts w:hint="default" w:ascii="Times New Roman" w:hAnsi="Times New Roman" w:cs="Times New Roman"/>
        </w:rPr>
        <w:t>l稀释液内，为5倍稀释，总共稀释10000倍。</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血清、血浆、灌洗液、尿液、胸水、唾液等体液建议原液检测（个别指标除外），以上方案仅供参考，最好做预实验，以确定稀释倍数，样</w:t>
      </w:r>
      <w:r>
        <w:rPr>
          <w:rFonts w:hint="default" w:ascii="Times New Roman" w:hAnsi="Times New Roman" w:cs="Times New Roman"/>
          <w:lang w:val="en-US" w:eastAsia="zh-CN"/>
        </w:rPr>
        <w:t>本</w:t>
      </w:r>
      <w:r>
        <w:rPr>
          <w:rFonts w:hint="default" w:ascii="Times New Roman" w:hAnsi="Times New Roman" w:cs="Times New Roman"/>
        </w:rPr>
        <w:t>的稀释应有详细记录。</w:t>
      </w:r>
    </w:p>
    <w:p>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需自备的设备及试剂：</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1、酶标仪（含450nm滤光片）</w:t>
      </w:r>
      <w:r>
        <w:rPr>
          <w:rFonts w:hint="default" w:ascii="Times New Roman" w:hAnsi="Times New Roman" w:eastAsia="宋体" w:cs="Times New Roman"/>
          <w:lang w:eastAsia="zh-CN"/>
        </w:rPr>
        <w:t>，</w:t>
      </w:r>
      <w:r>
        <w:rPr>
          <w:rFonts w:hint="default" w:ascii="Times New Roman" w:hAnsi="Times New Roman" w:eastAsia="宋体" w:cs="Times New Roman"/>
        </w:rPr>
        <w:t>使用前</w:t>
      </w:r>
      <w:r>
        <w:rPr>
          <w:rFonts w:hint="default" w:ascii="Times New Roman" w:hAnsi="Times New Roman" w:eastAsia="宋体" w:cs="Times New Roman"/>
          <w:lang w:val="en-US" w:eastAsia="zh-CN"/>
        </w:rPr>
        <w:t>15min</w:t>
      </w:r>
      <w:r>
        <w:rPr>
          <w:rFonts w:hint="default" w:ascii="Times New Roman" w:hAnsi="Times New Roman" w:eastAsia="宋体" w:cs="Times New Roman"/>
        </w:rPr>
        <w:t xml:space="preserve">提前预热仪器。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2、单道及多道微量移液器及无菌吸头。</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3、1.5ml离心管。</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 xml:space="preserve">4、蒸馏水或去离子水。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5、吸水纸。</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lang w:eastAsia="zh-CN"/>
        </w:rPr>
      </w:pPr>
      <w:r>
        <w:rPr>
          <w:rFonts w:hint="default" w:ascii="Times New Roman" w:hAnsi="Times New Roman" w:eastAsia="宋体" w:cs="Times New Roman"/>
        </w:rPr>
        <w:t>6、量筒烧杯等容器</w:t>
      </w:r>
      <w:r>
        <w:rPr>
          <w:rFonts w:hint="default" w:ascii="Times New Roman" w:hAnsi="Times New Roman" w:eastAsia="宋体" w:cs="Times New Roman"/>
          <w:lang w:eastAsia="zh-CN"/>
        </w:rPr>
        <w:t>。</w:t>
      </w:r>
    </w:p>
    <w:p>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洗板方法：</w:t>
      </w:r>
    </w:p>
    <w:p>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手工洗板方法：</w:t>
      </w:r>
      <w:r>
        <w:rPr>
          <w:rFonts w:hint="default" w:ascii="Times New Roman" w:hAnsi="Times New Roman" w:cs="Times New Roman"/>
        </w:rPr>
        <w:t>吸去或甩掉酶标板内的液体，在实验台上铺垫几层吸水纸，酶标板朝下用力拍几次，每孔加入1×洗涤缓冲液300</w:t>
      </w:r>
      <w:r>
        <w:rPr>
          <w:rFonts w:hint="default" w:ascii="Times New Roman" w:hAnsi="Times New Roman" w:eastAsia="宋体" w:cs="Times New Roman"/>
        </w:rPr>
        <w:t>μ</w:t>
      </w:r>
      <w:r>
        <w:rPr>
          <w:rFonts w:hint="default" w:ascii="Times New Roman" w:hAnsi="Times New Roman" w:cs="Times New Roman"/>
        </w:rPr>
        <w:t>l，浸泡1-2</w:t>
      </w:r>
      <w:r>
        <w:rPr>
          <w:rFonts w:hint="default" w:ascii="Times New Roman" w:hAnsi="Times New Roman" w:cs="Times New Roman"/>
          <w:lang w:val="en-US" w:eastAsia="zh-CN"/>
        </w:rPr>
        <w:t>min</w:t>
      </w:r>
      <w:r>
        <w:rPr>
          <w:rFonts w:hint="default" w:ascii="Times New Roman" w:hAnsi="Times New Roman" w:cs="Times New Roman"/>
        </w:rPr>
        <w:t xml:space="preserve">，重复此过程数次。 </w:t>
      </w:r>
    </w:p>
    <w:p>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自动洗板：</w:t>
      </w:r>
      <w:r>
        <w:rPr>
          <w:rFonts w:hint="default" w:ascii="Times New Roman" w:hAnsi="Times New Roman" w:cs="Times New Roman"/>
        </w:rPr>
        <w:t>洗板前</w:t>
      </w:r>
      <w:r>
        <w:rPr>
          <w:rFonts w:hint="default" w:ascii="Times New Roman" w:hAnsi="Times New Roman" w:cs="Times New Roman"/>
          <w:lang w:eastAsia="zh-CN"/>
        </w:rPr>
        <w:t>，</w:t>
      </w:r>
      <w:r>
        <w:rPr>
          <w:rFonts w:hint="default" w:ascii="Times New Roman" w:hAnsi="Times New Roman" w:cs="Times New Roman"/>
        </w:rPr>
        <w:t>应检查洗液瓶、蒸馏水瓶是否</w:t>
      </w:r>
      <w:r>
        <w:rPr>
          <w:rFonts w:hint="default" w:ascii="Times New Roman" w:hAnsi="Times New Roman" w:cs="Times New Roman"/>
        </w:rPr>
        <w:drawing>
          <wp:anchor distT="0" distB="0" distL="114300" distR="114300" simplePos="0" relativeHeight="25166745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5" name="图片 1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图片 1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充足，废液瓶是否满瓶。在自检过程中注意观察洗液灌注是否通畅，排液是否通畅。在洗板过程中，应注意观察反应孔每孔是否灌满且无外溢，每孔吸水是否吸尽，并且要保证洗液在孔中放置的时间。 </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测前准备：</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实验测试前30</w:t>
      </w:r>
      <w:r>
        <w:rPr>
          <w:rFonts w:hint="default" w:ascii="Times New Roman" w:hAnsi="Times New Roman" w:cs="Times New Roman"/>
          <w:lang w:val="en-US" w:eastAsia="zh-CN"/>
        </w:rPr>
        <w:t>min</w:t>
      </w:r>
      <w:r>
        <w:rPr>
          <w:rFonts w:hint="default" w:ascii="Times New Roman" w:hAnsi="Times New Roman" w:cs="Times New Roman"/>
        </w:rPr>
        <w:t>，将所有的试剂及样品平衡至室温，不能加热使之融解</w:t>
      </w:r>
      <w:r>
        <w:rPr>
          <w:rFonts w:hint="default" w:ascii="Times New Roman" w:hAnsi="Times New Roman" w:cs="Times New Roman"/>
          <w:lang w:eastAsia="zh-CN"/>
        </w:rPr>
        <w:t>。</w:t>
      </w:r>
      <w:r>
        <w:rPr>
          <w:rFonts w:hint="default" w:ascii="Times New Roman" w:hAnsi="Times New Roman" w:cs="Times New Roman"/>
        </w:rPr>
        <w:t>已经倒出的试剂请勿倒回瓶中，避免瓶中试剂污染，试剂配置或样品稀释时，切记要混匀。</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每次检测都应该做标准曲线，使用者应估计样品待测因子的含量，来决定是否对样本进行适当稀释检测，以便使样品中目的蛋白的浓度处于本试剂盒的最佳检测范围内。</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3、</w:t>
      </w:r>
      <w:r>
        <w:rPr>
          <w:rFonts w:hint="default" w:ascii="Times New Roman" w:hAnsi="Times New Roman" w:cs="Times New Roman"/>
        </w:rPr>
        <w:t>当待检样品需要稀释时，如标准品/样品稀释液不够用，可以用PBST替代，请提前准备PBST。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洗涤液配</w:t>
      </w:r>
      <w:r>
        <w:rPr>
          <w:rFonts w:hint="default" w:ascii="Times New Roman" w:hAnsi="Times New Roman" w:cs="Times New Roman"/>
          <w:lang w:val="en-US" w:eastAsia="zh-CN"/>
        </w:rPr>
        <w:t>制</w:t>
      </w:r>
      <w:r>
        <w:rPr>
          <w:rFonts w:hint="default" w:ascii="Times New Roman" w:hAnsi="Times New Roman" w:cs="Times New Roman"/>
        </w:rPr>
        <w:t>（1×）</w:t>
      </w:r>
      <w:r>
        <w:rPr>
          <w:rFonts w:hint="default" w:ascii="Times New Roman" w:hAnsi="Times New Roman" w:cs="Times New Roman"/>
          <w:lang w:eastAsia="zh-CN"/>
        </w:rPr>
        <w:t>：</w:t>
      </w:r>
      <w:r>
        <w:rPr>
          <w:rFonts w:hint="default" w:ascii="Times New Roman" w:hAnsi="Times New Roman" w:cs="Times New Roman"/>
        </w:rPr>
        <w:t>用纯水1:30稀释浓缩洗涤液</w:t>
      </w:r>
      <w:r>
        <w:rPr>
          <w:rFonts w:hint="default" w:ascii="Times New Roman" w:hAnsi="Times New Roman" w:cs="Times New Roman"/>
          <w:lang w:eastAsia="zh-CN"/>
        </w:rPr>
        <w:t>（</w:t>
      </w:r>
      <w:r>
        <w:rPr>
          <w:rFonts w:hint="default" w:ascii="Times New Roman" w:hAnsi="Times New Roman" w:cs="Times New Roman"/>
        </w:rPr>
        <w:t>1ml浓缩洗涤液加入29ml的纯水</w:t>
      </w:r>
      <w:r>
        <w:rPr>
          <w:rFonts w:hint="default" w:ascii="Times New Roman" w:hAnsi="Times New Roman" w:cs="Times New Roman"/>
          <w:lang w:eastAsia="zh-CN"/>
        </w:rPr>
        <w:t>）</w:t>
      </w:r>
      <w:r>
        <w:rPr>
          <w:rFonts w:hint="default" w:ascii="Times New Roman" w:hAnsi="Times New Roman" w:cs="Times New Roman"/>
        </w:rPr>
        <w:t>。当稀释液及洗涤液不够用时，可以用1</w:t>
      </w:r>
      <w:r>
        <w:rPr>
          <w:rFonts w:hint="default" w:ascii="Times New Roman" w:hAnsi="Times New Roman" w:cs="Times New Roman"/>
          <w:lang w:val="en-US" w:eastAsia="zh-CN"/>
        </w:rPr>
        <w:t>×</w:t>
      </w:r>
      <w:r>
        <w:rPr>
          <w:rFonts w:hint="default" w:ascii="Times New Roman" w:hAnsi="Times New Roman" w:cs="Times New Roman"/>
        </w:rPr>
        <w:t>PBST 替代，洗涤液中如有结晶析出，请先温育至室温，轻轻混匀，至到结晶完全溶解再进行配制，配</w:t>
      </w:r>
      <w:r>
        <w:rPr>
          <w:rFonts w:hint="default" w:ascii="Times New Roman" w:hAnsi="Times New Roman" w:cs="Times New Roman"/>
          <w:lang w:val="en-US" w:eastAsia="zh-CN"/>
        </w:rPr>
        <w:t>制</w:t>
      </w:r>
      <w:r>
        <w:rPr>
          <w:rFonts w:hint="default" w:ascii="Times New Roman" w:hAnsi="Times New Roman" w:cs="Times New Roman"/>
        </w:rPr>
        <w:t>过程请使用纯水，避免因水污染导致实验失败。</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rPr>
        <w:t>抗体工作液配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l生物素检测抗体（100×）加入10ml抗体稀释液中。</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6、</w:t>
      </w:r>
      <w:r>
        <w:rPr>
          <w:rFonts w:hint="default" w:ascii="Times New Roman" w:hAnsi="Times New Roman" w:cs="Times New Roman"/>
        </w:rPr>
        <w:t>SABC工作液配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 xml:space="preserve"> </w:t>
      </w:r>
      <w:r>
        <w:rPr>
          <w:rFonts w:hint="default" w:ascii="Times New Roman" w:hAnsi="Times New Roman" w:cs="Times New Roman"/>
        </w:rPr>
        <w:t>SABC（100×）加入10ml</w:t>
      </w:r>
      <w:r>
        <w:rPr>
          <w:rFonts w:hint="default" w:ascii="Times New Roman" w:hAnsi="Times New Roman" w:cs="Times New Roman"/>
          <w:lang w:val="en-US" w:eastAsia="zh-CN"/>
        </w:rPr>
        <w:t xml:space="preserve"> </w:t>
      </w:r>
      <w:r>
        <w:rPr>
          <w:rFonts w:hint="default" w:ascii="Times New Roman" w:hAnsi="Times New Roman" w:cs="Times New Roman"/>
        </w:rPr>
        <w:t>SABC稀释液中。</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7、</w:t>
      </w:r>
      <w:r>
        <w:rPr>
          <w:rFonts w:hint="default" w:ascii="Times New Roman" w:hAnsi="Times New Roman" w:cs="Times New Roman"/>
        </w:rPr>
        <w:t>TMB显色液配</w:t>
      </w:r>
      <w:r>
        <w:rPr>
          <w:rFonts w:hint="default" w:ascii="Times New Roman" w:hAnsi="Times New Roman" w:cs="Times New Roman"/>
          <w:lang w:val="en-US" w:eastAsia="zh-CN"/>
        </w:rPr>
        <w:t>制</w:t>
      </w:r>
      <w:r>
        <w:rPr>
          <w:rFonts w:hint="default" w:ascii="Times New Roman" w:hAnsi="Times New Roman" w:cs="Times New Roman"/>
          <w:lang w:eastAsia="zh-CN"/>
        </w:rPr>
        <w:t>：</w:t>
      </w:r>
      <w:r>
        <w:rPr>
          <w:rFonts w:hint="default" w:ascii="Times New Roman" w:hAnsi="Times New Roman" w:cs="Times New Roman"/>
        </w:rPr>
        <w:t>使用前</w:t>
      </w:r>
      <w:r>
        <w:rPr>
          <w:rFonts w:hint="default" w:ascii="Times New Roman" w:hAnsi="Times New Roman" w:cs="Times New Roman"/>
          <w:lang w:val="en-US" w:eastAsia="zh-CN"/>
        </w:rPr>
        <w:t>5min</w:t>
      </w:r>
      <w:r>
        <w:rPr>
          <w:rFonts w:hint="default" w:ascii="Times New Roman" w:hAnsi="Times New Roman" w:cs="Times New Roman"/>
        </w:rPr>
        <w:t>，将TMB显色液A液和B液1:</w:t>
      </w:r>
      <w:r>
        <w:rPr>
          <w:rFonts w:hint="eastAsia" w:ascii="Times New Roman" w:hAnsi="Times New Roman" w:cs="Times New Roman"/>
          <w:lang w:val="en-US" w:eastAsia="zh-CN"/>
        </w:rPr>
        <w:t>1</w:t>
      </w:r>
      <w:r>
        <w:rPr>
          <w:rFonts w:hint="default" w:ascii="Times New Roman" w:hAnsi="Times New Roman" w:cs="Times New Roman"/>
        </w:rPr>
        <w:t>混合，避光备用，在储存和显色时均避免强光照射。</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8、</w:t>
      </w:r>
      <w:r>
        <w:rPr>
          <w:rFonts w:hint="default" w:ascii="Times New Roman" w:hAnsi="Times New Roman" w:cs="Times New Roman"/>
        </w:rPr>
        <w:t>标准品配</w:t>
      </w:r>
      <w:r>
        <w:rPr>
          <w:rFonts w:hint="default" w:ascii="Times New Roman" w:hAnsi="Times New Roman" w:cs="Times New Roman"/>
          <w:lang w:val="en-US" w:eastAsia="zh-CN"/>
        </w:rPr>
        <w:t>制：</w:t>
      </w:r>
      <w:r>
        <w:rPr>
          <w:rFonts w:hint="default" w:ascii="Times New Roman" w:hAnsi="Times New Roman" w:cs="Times New Roman"/>
        </w:rPr>
        <w:t>取7个1.5ml离心管，分别标注：S2、S3、S4、S5、S6、S7、</w:t>
      </w:r>
      <w:r>
        <w:rPr>
          <w:rFonts w:hint="default" w:ascii="Times New Roman" w:hAnsi="Times New Roman" w:cs="Times New Roman"/>
          <w:lang w:val="en-US" w:eastAsia="zh-CN"/>
        </w:rPr>
        <w:t>B</w:t>
      </w:r>
      <w:r>
        <w:rPr>
          <w:rFonts w:hint="default" w:ascii="Times New Roman" w:hAnsi="Times New Roman" w:cs="Times New Roman"/>
        </w:rPr>
        <w:t>lank</w:t>
      </w:r>
      <w:r>
        <w:rPr>
          <w:rFonts w:hint="default" w:ascii="Times New Roman" w:hAnsi="Times New Roman" w:cs="Times New Roman"/>
          <w:lang w:eastAsia="zh-CN"/>
        </w:rPr>
        <w:t>，</w:t>
      </w:r>
      <w:r>
        <w:rPr>
          <w:rFonts w:hint="default" w:ascii="Times New Roman" w:hAnsi="Times New Roman" w:cs="Times New Roman"/>
        </w:rPr>
        <w:t>每管中分别加入标准品/样品稀释液200</w:t>
      </w:r>
      <w:r>
        <w:rPr>
          <w:rFonts w:hint="default" w:ascii="Times New Roman" w:hAnsi="Times New Roman" w:eastAsia="宋体" w:cs="Times New Roman"/>
        </w:rPr>
        <w:t>μ</w:t>
      </w:r>
      <w:r>
        <w:rPr>
          <w:rFonts w:hint="default" w:ascii="Times New Roman" w:hAnsi="Times New Roman" w:cs="Times New Roman"/>
        </w:rPr>
        <w:t>l，从试剂盒中取出标准品溶液（S1），用移液器吸出200</w:t>
      </w:r>
      <w:r>
        <w:rPr>
          <w:rFonts w:hint="default" w:ascii="Times New Roman" w:hAnsi="Times New Roman" w:eastAsia="宋体" w:cs="Times New Roman"/>
        </w:rPr>
        <w:t>μ</w:t>
      </w:r>
      <w:r>
        <w:rPr>
          <w:rFonts w:hint="default" w:ascii="Times New Roman" w:hAnsi="Times New Roman" w:cs="Times New Roman"/>
        </w:rPr>
        <w:t>l，移至第二管S2中，置于混合器上混匀后用移液器吸出200</w:t>
      </w:r>
      <w:r>
        <w:rPr>
          <w:rFonts w:hint="default" w:ascii="Times New Roman" w:hAnsi="Times New Roman" w:eastAsia="宋体" w:cs="Times New Roman"/>
        </w:rPr>
        <w:t>μ</w:t>
      </w:r>
      <w:r>
        <w:rPr>
          <w:rFonts w:hint="default" w:ascii="Times New Roman" w:hAnsi="Times New Roman" w:cs="Times New Roman"/>
        </w:rPr>
        <w:t>l移至第三管S3中，如此反复作对倍稀释至S7，标准品/样品稀释液为空白对照孔</w:t>
      </w:r>
      <w:r>
        <w:rPr>
          <w:rFonts w:hint="default" w:ascii="Times New Roman" w:hAnsi="Times New Roman" w:cs="Times New Roman"/>
          <w:lang w:val="en-US" w:eastAsia="zh-CN"/>
        </w:rPr>
        <w:t>B</w:t>
      </w:r>
      <w:r>
        <w:rPr>
          <w:rFonts w:hint="default" w:ascii="Times New Roman" w:hAnsi="Times New Roman" w:cs="Times New Roman"/>
        </w:rPr>
        <w:t>lank，标准品共8个孔，即：S1、S2、S3、S4、S5、S6、S7、</w:t>
      </w:r>
      <w:r>
        <w:rPr>
          <w:rFonts w:hint="default" w:ascii="Times New Roman" w:hAnsi="Times New Roman" w:cs="Times New Roman"/>
          <w:lang w:val="en-US" w:eastAsia="zh-CN"/>
        </w:rPr>
        <w:t>B</w:t>
      </w:r>
      <w:r>
        <w:rPr>
          <w:rFonts w:hint="default" w:ascii="Times New Roman" w:hAnsi="Times New Roman" w:cs="Times New Roman"/>
        </w:rPr>
        <w:t>lank，当日使用，剩余弃之。</w:t>
      </w:r>
    </w:p>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Cs w:val="22"/>
        </w:rPr>
      </w:pPr>
      <w:r>
        <w:rPr>
          <w:rFonts w:hint="default" w:ascii="Times New Roman" w:hAnsi="Times New Roman" w:cs="Times New Roman"/>
          <w:szCs w:val="22"/>
        </w:rPr>
        <w:drawing>
          <wp:inline distT="0" distB="0" distL="0" distR="0">
            <wp:extent cx="4342130" cy="1367790"/>
            <wp:effectExtent l="0" t="0" r="0" b="0"/>
            <wp:docPr id="1006"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1"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val="en-US" w:eastAsia="zh-CN" w:bidi="ar-SA"/>
        </w:rPr>
      </w:pPr>
      <w:r>
        <w:rPr>
          <w:rFonts w:hint="default" w:ascii="Times New Roman" w:hAnsi="Times New Roman" w:eastAsia="宋体" w:cs="Times New Roman"/>
          <w:b/>
          <w:bCs/>
          <w:sz w:val="28"/>
          <w:szCs w:val="28"/>
          <w:lang w:val="en-US" w:eastAsia="zh-CN" w:bidi="ar-SA"/>
        </w:rPr>
        <w:t>检测流程：</w:t>
      </w: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1、加样: 空白</w:t>
      </w:r>
      <w:r>
        <w:rPr>
          <w:rFonts w:hint="eastAsia" w:ascii="Times New Roman" w:hAnsi="Times New Roman" w:cs="Times New Roman"/>
          <w:sz w:val="24"/>
          <w:szCs w:val="24"/>
          <w:lang w:val="en-US" w:eastAsia="zh-CN"/>
        </w:rPr>
        <w:t>孔</w:t>
      </w:r>
      <w:r>
        <w:rPr>
          <w:rFonts w:hint="default" w:ascii="Times New Roman" w:hAnsi="Times New Roman" w:eastAsia="宋体" w:cs="Times New Roman"/>
          <w:sz w:val="24"/>
          <w:szCs w:val="24"/>
          <w:lang w:val="en-US" w:eastAsia="zh-CN"/>
        </w:rPr>
        <w:t>加入50μl标准品/样品稀释液，其余孔各对应加入标准品或待测样品50μl，将酶标板用封板膜封好，轻轻混匀后置37℃，孵育50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 </w:t>
      </w: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rPr>
        <w:t>2、洗板: 用洗涤液（1×）将酶标板充分洗涤3次，每孔加入洗涤液300μl，</w:t>
      </w:r>
      <w:r>
        <w:rPr>
          <w:rFonts w:hint="default" w:ascii="Times New Roman" w:hAnsi="Times New Roman" w:cs="Times New Roman"/>
          <w:lang w:eastAsia="zh-CN"/>
        </w:rPr>
        <w:t>振荡</w:t>
      </w:r>
      <w:r>
        <w:rPr>
          <w:rFonts w:hint="default" w:ascii="Times New Roman" w:hAnsi="Times New Roman" w:cs="Times New Roman"/>
          <w:lang w:val="en-US" w:eastAsia="zh-CN"/>
        </w:rPr>
        <w:t>/</w:t>
      </w:r>
      <w:r>
        <w:rPr>
          <w:rFonts w:hint="default" w:ascii="Times New Roman" w:hAnsi="Times New Roman" w:cs="Times New Roman"/>
        </w:rPr>
        <w:t>浸泡1-2</w:t>
      </w:r>
      <w:r>
        <w:rPr>
          <w:rFonts w:hint="default" w:ascii="Times New Roman" w:hAnsi="Times New Roman" w:cs="Times New Roman"/>
          <w:lang w:val="en-US" w:eastAsia="zh-CN"/>
        </w:rPr>
        <w:t>min</w:t>
      </w:r>
      <w:r>
        <w:rPr>
          <w:rFonts w:hint="default" w:ascii="Times New Roman" w:hAnsi="Times New Roman" w:cs="Times New Roman"/>
        </w:rPr>
        <w:t>，</w:t>
      </w:r>
      <w:r>
        <w:rPr>
          <w:rFonts w:hint="default" w:ascii="Times New Roman" w:hAnsi="Times New Roman" w:cs="Times New Roman"/>
          <w:lang w:val="en-US" w:eastAsia="zh-CN"/>
        </w:rPr>
        <w:t>在</w:t>
      </w:r>
      <w:r>
        <w:rPr>
          <w:rFonts w:hint="default" w:ascii="Times New Roman" w:hAnsi="Times New Roman" w:cs="Times New Roman"/>
        </w:rPr>
        <w:t xml:space="preserve">滤纸上印干。 </w:t>
      </w: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3、孵育抗体：空白孔加入100μl的抗体稀释液，其余孔各加入检测抗体工作液100μl，将酶标板用封板膜封好，轻轻混匀后置37℃，孵育50分钟。 </w:t>
      </w: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4、洗板: 同上。 </w:t>
      </w: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5、孵育SABC：空白孔加入100μl的SABC稀释液，其余孔各加入SABC工作液100μl，将酶标板用封板膜封好，轻轻混匀后置37℃，孵育30分钟。</w:t>
      </w: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6、洗板: 同上。</w:t>
      </w: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7、显色：每孔加入提前配置好的TMB混合液100μl，将酶标板用封板膜封好，轻轻混匀后置37℃，暗处反应8-20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，反应结果为蓝色。 </w:t>
      </w: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lang w:val="en-US" w:eastAsia="zh-CN"/>
        </w:rPr>
        <w:t>8、终止反应：每孔加入50μl终止液，轻轻混匀，此时蓝色转为黄色，20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内用酶标仪在450nm处测OD值。</w:t>
      </w:r>
      <w:r>
        <w:rPr>
          <w:rFonts w:hint="eastAsia" w:ascii="Times New Roman" w:hAnsi="Times New Roman" w:eastAsia="宋体" w:cs="Times New Roman"/>
          <w:sz w:val="24"/>
          <w:szCs w:val="24"/>
          <w:lang w:val="en-US" w:eastAsia="zh-CN" w:bidi="ar-SA"/>
        </w:rPr>
        <w:t xml:space="preserve"> </w:t>
      </w:r>
    </w:p>
    <w:p>
      <w:pPr>
        <w:pStyle w:val="7"/>
        <w:keepNext w:val="0"/>
        <w:keepLines w:val="0"/>
        <w:pageBreakBefore w:val="0"/>
        <w:widowControl/>
        <w:kinsoku/>
        <w:wordWrap/>
        <w:overflowPunct/>
        <w:topLinePunct w:val="0"/>
        <w:autoSpaceDE/>
        <w:autoSpaceDN/>
        <w:bidi w:val="0"/>
        <w:adjustRightInd/>
        <w:snapToGrid/>
        <w:spacing w:before="157" w:beforeLines="50" w:beforeAutospacing="0" w:after="0" w:afterAutospacing="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提示：</w:t>
      </w:r>
    </w:p>
    <w:p>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加样</w:t>
      </w:r>
      <w:r>
        <w:rPr>
          <w:rFonts w:hint="default" w:ascii="Times New Roman" w:hAnsi="Times New Roman" w:cs="Times New Roman"/>
          <w:lang w:eastAsia="zh-CN"/>
        </w:rPr>
        <w:t>：</w:t>
      </w:r>
      <w:r>
        <w:rPr>
          <w:rFonts w:hint="default" w:ascii="Times New Roman" w:hAnsi="Times New Roman" w:cs="Times New Roman"/>
        </w:rPr>
        <w:t>实验操作中请使用一次性吸头，避免交叉污染。加样时注意不要有气泡，将样品加于酶标板底部，尽量不触及孔壁，轻轻晃动混匀。加样或加试剂时，第一个孔与最后一个孔加样之间的时间间隔如果太大，将会导致不同的</w:t>
      </w:r>
      <w:r>
        <w:rPr>
          <w:rFonts w:hint="eastAsia" w:ascii="Times New Roman" w:hAnsi="Times New Roman" w:cs="Times New Roman"/>
          <w:lang w:eastAsia="zh-CN"/>
        </w:rPr>
        <w:t>“</w:t>
      </w:r>
      <w:r>
        <w:rPr>
          <w:rFonts w:hint="default" w:ascii="Times New Roman" w:hAnsi="Times New Roman" w:cs="Times New Roman"/>
        </w:rPr>
        <w:t>孵育</w:t>
      </w:r>
      <w:r>
        <w:rPr>
          <w:rFonts w:hint="eastAsia" w:ascii="Times New Roman" w:hAnsi="Times New Roman" w:cs="Times New Roman"/>
          <w:lang w:eastAsia="zh-CN"/>
        </w:rPr>
        <w:t>”</w:t>
      </w:r>
      <w:r>
        <w:rPr>
          <w:rFonts w:hint="default" w:ascii="Times New Roman" w:hAnsi="Times New Roman" w:cs="Times New Roman"/>
        </w:rPr>
        <w:t>时间，从而明显地影响到测量值的准确性及重复性。因此，一次加样时间</w:t>
      </w:r>
      <w:r>
        <w:rPr>
          <w:rFonts w:hint="default" w:ascii="Times New Roman" w:hAnsi="Times New Roman" w:cs="Times New Roman"/>
          <w:lang w:eastAsia="zh-CN"/>
        </w:rPr>
        <w:t>（</w:t>
      </w:r>
      <w:r>
        <w:rPr>
          <w:rFonts w:hint="default" w:ascii="Times New Roman" w:hAnsi="Times New Roman" w:cs="Times New Roman"/>
        </w:rPr>
        <w:t>包括标准品及所有样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最好控制在10分钟内。</w:t>
      </w:r>
    </w:p>
    <w:p>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孵育</w:t>
      </w:r>
      <w:r>
        <w:rPr>
          <w:rFonts w:hint="default" w:ascii="Times New Roman" w:hAnsi="Times New Roman" w:cs="Times New Roman"/>
          <w:lang w:eastAsia="zh-CN"/>
        </w:rPr>
        <w:t>：</w:t>
      </w:r>
      <w:r>
        <w:rPr>
          <w:rFonts w:hint="default" w:ascii="Times New Roman" w:hAnsi="Times New Roman" w:cs="Times New Roman"/>
          <w:lang w:val="en-US" w:eastAsia="zh-CN"/>
        </w:rPr>
        <w:t>孵育</w:t>
      </w:r>
      <w:r>
        <w:rPr>
          <w:rFonts w:hint="default" w:ascii="Times New Roman" w:hAnsi="Times New Roman" w:cs="Times New Roman"/>
        </w:rPr>
        <w:t>时请将封板膜封好，避免液体蒸发</w:t>
      </w:r>
      <w:r>
        <w:rPr>
          <w:rFonts w:hint="default" w:ascii="Times New Roman" w:hAnsi="Times New Roman" w:cs="Times New Roman"/>
          <w:lang w:eastAsia="zh-CN"/>
        </w:rPr>
        <w:t>。</w:t>
      </w:r>
      <w:r>
        <w:rPr>
          <w:rFonts w:hint="default" w:ascii="Times New Roman" w:hAnsi="Times New Roman" w:cs="Times New Roman"/>
        </w:rPr>
        <w:t>洗板后应尽快进行</w:t>
      </w:r>
      <w:r>
        <w:rPr>
          <w:rFonts w:hint="default" w:ascii="Times New Roman" w:hAnsi="Times New Roman" w:cs="Times New Roman"/>
          <w:lang w:eastAsia="zh-CN"/>
        </w:rPr>
        <w:t>下一</w:t>
      </w:r>
      <w:r>
        <w:rPr>
          <w:rFonts w:hint="default" w:ascii="Times New Roman" w:hAnsi="Times New Roman" w:cs="Times New Roman"/>
        </w:rPr>
        <w:t>步操作，任何</w:t>
      </w:r>
      <w:r>
        <w:rPr>
          <w:rFonts w:hint="default" w:ascii="Times New Roman" w:hAnsi="Times New Roman" w:cs="Times New Roman"/>
          <w:lang w:eastAsia="zh-CN"/>
        </w:rPr>
        <w:t>时候</w:t>
      </w:r>
      <w:r>
        <w:rPr>
          <w:rFonts w:hint="default" w:ascii="Times New Roman" w:hAnsi="Times New Roman" w:cs="Times New Roman"/>
        </w:rPr>
        <w:t xml:space="preserve">都应避免酶标板处于干燥状态，同时应严格遵守孵育时间和温度。 </w:t>
      </w:r>
    </w:p>
    <w:p>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洗涤</w:t>
      </w:r>
      <w:r>
        <w:rPr>
          <w:rFonts w:hint="default" w:ascii="Times New Roman" w:hAnsi="Times New Roman" w:cs="Times New Roman"/>
          <w:lang w:eastAsia="zh-CN"/>
        </w:rPr>
        <w:t>：</w:t>
      </w:r>
      <w:r>
        <w:rPr>
          <w:rFonts w:hint="default" w:ascii="Times New Roman" w:hAnsi="Times New Roman" w:cs="Times New Roman"/>
        </w:rPr>
        <w:t>充分的洗涤非常重要，在每次洗涤过程中，都要将洗涤液完全甩干，洗涤过程中反应孔中残留的洗涤液应在滤纸上拍干，勿将滤纸直接放入反应孔中吸水，同时要消除板底残留的液体和手指印，避免影响最后的酶标仪读数。</w:t>
      </w:r>
      <w:r>
        <w:rPr>
          <w:rFonts w:hint="default" w:ascii="Times New Roman" w:hAnsi="Times New Roman" w:cs="Times New Roman"/>
        </w:rPr>
        <w:drawing>
          <wp:anchor distT="0" distB="0" distL="114300" distR="114300" simplePos="0" relativeHeight="25168588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7" name="图片 1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图片 1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显色时间的控制</w:t>
      </w:r>
      <w:r>
        <w:rPr>
          <w:rFonts w:hint="default" w:ascii="Times New Roman" w:hAnsi="Times New Roman" w:cs="Times New Roman"/>
          <w:lang w:eastAsia="zh-CN"/>
        </w:rPr>
        <w:t>：</w:t>
      </w:r>
      <w:r>
        <w:rPr>
          <w:rFonts w:hint="default" w:ascii="Times New Roman" w:hAnsi="Times New Roman" w:cs="Times New Roman"/>
        </w:rPr>
        <w:t>说明书中</w:t>
      </w:r>
      <w:r>
        <w:rPr>
          <w:rFonts w:hint="default" w:ascii="Times New Roman" w:hAnsi="Times New Roman" w:cs="Times New Roman"/>
          <w:lang w:val="en-US" w:eastAsia="zh-CN"/>
        </w:rPr>
        <w:t>的</w:t>
      </w:r>
      <w:r>
        <w:rPr>
          <w:rFonts w:hint="default" w:ascii="Times New Roman" w:hAnsi="Times New Roman" w:cs="Times New Roman"/>
        </w:rPr>
        <w:t>显色时间</w:t>
      </w:r>
      <w:r>
        <w:rPr>
          <w:rFonts w:hint="default" w:ascii="Times New Roman" w:hAnsi="Times New Roman" w:cs="Times New Roman"/>
          <w:lang w:val="en-US" w:eastAsia="zh-CN"/>
        </w:rPr>
        <w:t>仅</w:t>
      </w:r>
      <w:r>
        <w:rPr>
          <w:rFonts w:hint="default" w:ascii="Times New Roman" w:hAnsi="Times New Roman" w:cs="Times New Roman"/>
        </w:rPr>
        <w:t>供参考，因用户实验室条件差异，最佳显色时间会有所不同，加入底物后请定时观察反应孔的颜色变化</w:t>
      </w:r>
      <w:r>
        <w:rPr>
          <w:rFonts w:hint="default" w:ascii="Times New Roman" w:hAnsi="Times New Roman" w:cs="Times New Roman"/>
          <w:lang w:eastAsia="zh-CN"/>
        </w:rPr>
        <w:t>（</w:t>
      </w:r>
      <w:r>
        <w:rPr>
          <w:rFonts w:hint="default" w:ascii="Times New Roman" w:hAnsi="Times New Roman" w:cs="Times New Roman"/>
        </w:rPr>
        <w:t>比如每隔5分钟观察一次</w:t>
      </w:r>
      <w:r>
        <w:rPr>
          <w:rFonts w:hint="default" w:ascii="Times New Roman" w:hAnsi="Times New Roman" w:cs="Times New Roman"/>
          <w:lang w:eastAsia="zh-CN"/>
        </w:rPr>
        <w:t>）</w:t>
      </w:r>
      <w:r>
        <w:rPr>
          <w:rFonts w:hint="default" w:ascii="Times New Roman" w:hAnsi="Times New Roman" w:cs="Times New Roman"/>
        </w:rPr>
        <w:t xml:space="preserve">，如颜色较深，请提前终止反应。当标准曲线有明显梯度且S7孔肉眼可见淡淡的蓝色时便可终止反应，避免反应过强从而影响酶标仪光密度读数。 </w:t>
      </w:r>
    </w:p>
    <w:p>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2"/>
          <w:szCs w:val="22"/>
          <w:lang w:eastAsia="zh-CN"/>
        </w:rPr>
      </w:pPr>
      <w:r>
        <w:rPr>
          <w:rFonts w:hint="default" w:ascii="Times New Roman" w:hAnsi="Times New Roman" w:cs="Times New Roman"/>
        </w:rPr>
        <w:t>本试剂盒中使用了酸作为终止液，具有腐蚀性，使用时应避免接触衣物或眼、手等皮肤暴露部位。</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 xml:space="preserve">结果判断与计算： </w:t>
      </w:r>
      <w:r>
        <w:rPr>
          <w:rFonts w:hint="default" w:ascii="Times New Roman" w:hAnsi="Times New Roman" w:cs="Times New Roman"/>
        </w:rPr>
        <w:drawing>
          <wp:anchor distT="0" distB="0" distL="114300" distR="114300" simplePos="0" relativeHeight="25166848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8" name="图片 1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图片 1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空白孔设为对照孔，所有的标准品和</w:t>
      </w:r>
      <w:r>
        <w:rPr>
          <w:rFonts w:hint="default" w:ascii="Times New Roman" w:hAnsi="Times New Roman" w:cs="Times New Roman"/>
          <w:lang w:val="en-US" w:eastAsia="zh-CN"/>
        </w:rPr>
        <w:t>样品</w:t>
      </w:r>
      <w:r>
        <w:rPr>
          <w:rFonts w:hint="default" w:ascii="Times New Roman" w:hAnsi="Times New Roman" w:cs="Times New Roman"/>
        </w:rPr>
        <w:t>的吸光值减去空白孔的后，得到的数据可以直接在坐标纸上画出曲线，如空白孔吸光值</w:t>
      </w:r>
      <w:r>
        <w:rPr>
          <w:rFonts w:hint="default" w:ascii="Times New Roman" w:hAnsi="Times New Roman" w:cs="Times New Roman"/>
          <w:lang w:val="en-US" w:eastAsia="zh-CN"/>
        </w:rPr>
        <w:t>(</w:t>
      </w:r>
      <w:r>
        <w:rPr>
          <w:rFonts w:hint="default" w:ascii="Times New Roman" w:hAnsi="Times New Roman" w:cs="Times New Roman"/>
        </w:rPr>
        <w:t>O</w:t>
      </w:r>
      <w:r>
        <w:rPr>
          <w:rFonts w:hint="default" w:ascii="Times New Roman" w:hAnsi="Times New Roman" w:cs="Times New Roman"/>
          <w:lang w:val="en-US" w:eastAsia="zh-CN"/>
        </w:rPr>
        <w:t>D)</w:t>
      </w:r>
      <w:r>
        <w:rPr>
          <w:rFonts w:hint="default" w:ascii="Times New Roman" w:hAnsi="Times New Roman" w:cs="Times New Roman"/>
        </w:rPr>
        <w:t>值低于0.1时，也可以直接计算。</w:t>
      </w:r>
    </w:p>
    <w:p>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2</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以标准品浓度作横坐标，OD值作纵坐标，手工绘制或用软件绘制标准曲线，根据样品OD值计算出相应含量，再乘以稀释倍数即可。 </w:t>
      </w:r>
    </w:p>
    <w:p>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3</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如S1检测OD值超出酶标仪检测范围时，可以舍弃其值进行统计分析，不影响实验结果。 </w:t>
      </w:r>
    </w:p>
    <w:p>
      <w:pPr>
        <w:keepNext w:val="0"/>
        <w:keepLines w:val="0"/>
        <w:pageBreakBefore w:val="0"/>
        <w:widowControl/>
        <w:kinsoku/>
        <w:wordWrap/>
        <w:overflowPunct/>
        <w:topLinePunct w:val="0"/>
        <w:autoSpaceDE/>
        <w:autoSpaceDN/>
        <w:bidi w:val="0"/>
        <w:adjustRightInd/>
        <w:snapToGrid/>
        <w:spacing w:before="157" w:beforeLines="50" w:line="360" w:lineRule="auto"/>
        <w:ind w:firstLine="0" w:firstLineChars="0"/>
        <w:jc w:val="both"/>
        <w:textAlignment w:val="auto"/>
        <w:rPr>
          <w:rFonts w:hint="default" w:ascii="Times New Roman" w:hAnsi="Times New Roman" w:cs="Times New Roman"/>
        </w:rPr>
      </w:pPr>
      <w:r>
        <w:rPr>
          <w:rFonts w:hint="default" w:ascii="Times New Roman" w:hAnsi="Times New Roman" w:eastAsia="宋体" w:cs="Times New Roman"/>
          <w:b/>
          <w:bCs/>
          <w:szCs w:val="28"/>
          <w:lang w:val="en-US" w:eastAsia="zh-CN" w:bidi="ar-SA"/>
        </w:rPr>
        <w:t>回</w:t>
      </w:r>
      <w:r>
        <w:rPr>
          <w:rFonts w:hint="default" w:ascii="Times New Roman" w:hAnsi="Times New Roman" w:eastAsia="宋体" w:cs="Times New Roman"/>
          <w:b/>
          <w:bCs/>
          <w:lang w:val="en-US" w:eastAsia="zh-CN"/>
        </w:rPr>
        <w:t>收率：</w:t>
      </w:r>
      <w:r>
        <w:rPr>
          <w:rFonts w:hint="default" w:ascii="Times New Roman" w:hAnsi="Times New Roman" w:cs="Times New Roman"/>
        </w:rPr>
        <w:t xml:space="preserve">分别于血清及血浆样本中加入已知蛋白，重复测定并计算其均值，回收率为测定值与理论值的比率，通过测试均在回收范围内。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767"/>
        <w:gridCol w:w="2693"/>
      </w:tblGrid>
      <w:tr>
        <w:trPr>
          <w:trHeight w:val="454" w:hRule="atLeast"/>
          <w:jc w:val="center"/>
        </w:trPr>
        <w:tc>
          <w:tcPr>
            <w:tcW w:w="2767" w:type="dxa"/>
            <w:vAlign w:val="center"/>
          </w:tcPr>
          <w:p>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样本</w:t>
            </w:r>
          </w:p>
        </w:tc>
        <w:tc>
          <w:tcPr>
            <w:tcW w:w="2693" w:type="dxa"/>
            <w:vAlign w:val="center"/>
          </w:tcPr>
          <w:p>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回收率范围(%)</w:t>
            </w:r>
          </w:p>
        </w:tc>
      </w:tr>
      <w:tr>
        <w:trPr>
          <w:trHeight w:val="454" w:hRule="atLeast"/>
          <w:jc w:val="center"/>
        </w:trPr>
        <w:tc>
          <w:tcPr>
            <w:tcW w:w="2767" w:type="dxa"/>
            <w:vAlign w:val="center"/>
          </w:tcPr>
          <w:p>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血清</w:t>
            </w:r>
          </w:p>
        </w:tc>
        <w:tc>
          <w:tcPr>
            <w:tcW w:w="2693" w:type="dxa"/>
            <w:vAlign w:val="center"/>
          </w:tcPr>
          <w:p>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88</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96</w:t>
            </w:r>
          </w:p>
        </w:tc>
      </w:tr>
      <w:tr>
        <w:trPr>
          <w:trHeight w:val="454" w:hRule="atLeast"/>
          <w:jc w:val="center"/>
        </w:trPr>
        <w:tc>
          <w:tcPr>
            <w:tcW w:w="2767" w:type="dxa"/>
            <w:vAlign w:val="center"/>
          </w:tcPr>
          <w:p>
            <w:pPr>
              <w:bidi w:val="0"/>
              <w:jc w:val="center"/>
              <w:rPr>
                <w:rFonts w:hint="default" w:ascii="Times New Roman" w:hAnsi="Times New Roman" w:cs="Times New Roman"/>
                <w:sz w:val="24"/>
                <w:szCs w:val="24"/>
              </w:rPr>
            </w:pPr>
            <w:r>
              <w:rPr>
                <w:rFonts w:hint="default" w:ascii="Times New Roman" w:hAnsi="Times New Roman" w:cs="Times New Roman"/>
                <w:sz w:val="24"/>
                <w:szCs w:val="24"/>
              </w:rPr>
              <w:t>EDTA抗凝血浆</w:t>
            </w:r>
          </w:p>
        </w:tc>
        <w:tc>
          <w:tcPr>
            <w:tcW w:w="2693" w:type="dxa"/>
            <w:vAlign w:val="center"/>
          </w:tcPr>
          <w:p>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87-96</w:t>
            </w:r>
          </w:p>
        </w:tc>
      </w:tr>
      <w:tr>
        <w:trPr>
          <w:trHeight w:val="454" w:hRule="atLeast"/>
          <w:jc w:val="center"/>
        </w:trPr>
        <w:tc>
          <w:tcPr>
            <w:tcW w:w="2767" w:type="dxa"/>
            <w:vAlign w:val="center"/>
          </w:tcPr>
          <w:p>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肝素钠抗凝血浆</w:t>
            </w:r>
          </w:p>
        </w:tc>
        <w:tc>
          <w:tcPr>
            <w:tcW w:w="2693" w:type="dxa"/>
            <w:vAlign w:val="center"/>
          </w:tcPr>
          <w:p>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83-95</w:t>
            </w:r>
          </w:p>
        </w:tc>
      </w:tr>
    </w:tbl>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线性范围：</w:t>
      </w:r>
      <w:r>
        <w:rPr>
          <w:rFonts w:hint="default" w:ascii="Times New Roman" w:hAnsi="Times New Roman" w:cs="Times New Roman"/>
        </w:rPr>
        <w:t xml:space="preserve">在血清及血浆样本中加入一定量的目的蛋白，并倍比稀释待测样本，线性范围即为稀释后样本中目的蛋白含量的测定值与理论值的比率。 </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精密度：</w:t>
      </w:r>
      <w:r>
        <w:rPr>
          <w:rFonts w:hint="default" w:ascii="Times New Roman" w:hAnsi="Times New Roman" w:cs="Times New Roman"/>
        </w:rPr>
        <w:t xml:space="preserve">精密度用样品测定值的变异系数CV表示。CV(%) = SD/mean×100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SD值是标准差</w:t>
      </w:r>
      <w:r>
        <w:rPr>
          <w:rFonts w:hint="default" w:ascii="Times New Roman" w:hAnsi="Times New Roman" w:cs="Times New Roman"/>
          <w:lang w:val="en-US" w:eastAsia="zh-CN"/>
        </w:rPr>
        <w:t>(</w:t>
      </w:r>
      <w:r>
        <w:rPr>
          <w:rFonts w:hint="default" w:ascii="Times New Roman" w:hAnsi="Times New Roman" w:cs="Times New Roman"/>
        </w:rPr>
        <w:t>Standard Deviation</w:t>
      </w:r>
      <w:r>
        <w:rPr>
          <w:rFonts w:hint="default" w:ascii="Times New Roman" w:hAnsi="Times New Roman" w:cs="Times New Roman"/>
          <w:lang w:val="en-US" w:eastAsia="zh-CN"/>
        </w:rPr>
        <w:t>)</w:t>
      </w:r>
      <w:r>
        <w:rPr>
          <w:rFonts w:hint="default" w:ascii="Times New Roman" w:hAnsi="Times New Roman" w:cs="Times New Roman"/>
          <w:lang w:eastAsia="zh-CN"/>
        </w:rPr>
        <w:t>，</w:t>
      </w:r>
      <w:r>
        <w:rPr>
          <w:rFonts w:hint="default" w:ascii="Times New Roman" w:hAnsi="Times New Roman" w:cs="Times New Roman"/>
        </w:rPr>
        <w:t>是离均差平方的算术平均数的算术平方根，用σ表示</w:t>
      </w:r>
      <w:r>
        <w:rPr>
          <w:rFonts w:hint="default" w:ascii="Times New Roman" w:hAnsi="Times New Roman" w:cs="Times New Roman"/>
          <w:lang w:eastAsia="zh-CN"/>
        </w:rPr>
        <w:t>，</w:t>
      </w:r>
      <w:r>
        <w:rPr>
          <w:rFonts w:hint="default" w:ascii="Times New Roman" w:hAnsi="Times New Roman" w:cs="Times New Roman"/>
        </w:rPr>
        <w:t>标准差也被称为标准偏差或者实验标准差。</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批内差</w:t>
      </w:r>
      <w:r>
        <w:rPr>
          <w:rFonts w:hint="default" w:ascii="Times New Roman" w:hAnsi="Times New Roman" w:cs="Times New Roman"/>
          <w:b/>
          <w:bCs/>
          <w:lang w:eastAsia="zh-CN"/>
        </w:rPr>
        <w:t>：</w:t>
      </w:r>
      <w:r>
        <w:rPr>
          <w:rFonts w:hint="default" w:ascii="Times New Roman" w:hAnsi="Times New Roman" w:cs="Times New Roman"/>
        </w:rPr>
        <w:t>取同批次试剂盒对低、中、高值定值样本进行定量检测</w:t>
      </w:r>
      <w:r>
        <w:rPr>
          <w:rFonts w:hint="default" w:ascii="Times New Roman" w:hAnsi="Times New Roman" w:cs="Times New Roman"/>
          <w:lang w:eastAsia="zh-CN"/>
        </w:rPr>
        <w:t>，</w:t>
      </w:r>
      <w:r>
        <w:rPr>
          <w:rFonts w:hint="default" w:ascii="Times New Roman" w:hAnsi="Times New Roman" w:cs="Times New Roman"/>
        </w:rPr>
        <w:t>每份样本连续测定20 次，分别计算不同浓度样本的平均值及SD值，批内差</w:t>
      </w:r>
      <w:r>
        <w:rPr>
          <w:rFonts w:hint="default" w:ascii="Times New Roman" w:hAnsi="Times New Roman" w:cs="Times New Roman"/>
          <w:lang w:eastAsia="zh-CN"/>
        </w:rPr>
        <w:t>：</w:t>
      </w:r>
      <w:r>
        <w:rPr>
          <w:rFonts w:hint="default" w:ascii="Times New Roman" w:hAnsi="Times New Roman" w:cs="Times New Roman"/>
        </w:rPr>
        <w:t>CV&lt;9%。</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批间差</w:t>
      </w:r>
      <w:r>
        <w:rPr>
          <w:rFonts w:hint="default" w:ascii="Times New Roman" w:hAnsi="Times New Roman" w:cs="Times New Roman"/>
          <w:b/>
          <w:bCs/>
          <w:lang w:eastAsia="zh-CN"/>
        </w:rPr>
        <w:t>：</w:t>
      </w:r>
      <w:r>
        <w:rPr>
          <w:rFonts w:hint="default" w:ascii="Times New Roman" w:hAnsi="Times New Roman" w:cs="Times New Roman"/>
        </w:rPr>
        <w:t>选取3个不同批次的试剂盒分别对低、中、高值定值样本进行定量测定，每个样本使用同一试剂盒重复测定8次，分别计算不同浓度样本的平均值及SD值，批间差</w:t>
      </w:r>
      <w:r>
        <w:rPr>
          <w:rFonts w:hint="default" w:ascii="Times New Roman" w:hAnsi="Times New Roman" w:cs="Times New Roman"/>
          <w:lang w:eastAsia="zh-CN"/>
        </w:rPr>
        <w:t>：</w:t>
      </w:r>
      <w:r>
        <w:rPr>
          <w:rFonts w:hint="default" w:ascii="Times New Roman" w:hAnsi="Times New Roman" w:cs="Times New Roman"/>
        </w:rPr>
        <w:t>CV&lt;10%。</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稳定性：</w:t>
      </w:r>
      <w:r>
        <w:rPr>
          <w:rFonts w:hint="default" w:ascii="Times New Roman" w:hAnsi="Times New Roman" w:cs="Times New Roman"/>
        </w:rPr>
        <w:t>经测定，试剂盒在有效期内按推</w:t>
      </w:r>
      <w:r>
        <w:rPr>
          <w:rFonts w:hint="default" w:ascii="Times New Roman" w:hAnsi="Times New Roman" w:cs="Times New Roman"/>
        </w:rPr>
        <w:drawing>
          <wp:anchor distT="0" distB="0" distL="114300" distR="114300" simplePos="0" relativeHeight="25166950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9" name="图片 1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图片 1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荐温度保存，其活性降低率小于5%。为减小外部因素对试剂盒破坏前后检测值的影响，实验室的环境条件需尽量保持一致，尤其是实验室内温度、及温育条件</w:t>
      </w:r>
      <w:r>
        <w:rPr>
          <w:rFonts w:hint="default" w:ascii="Times New Roman" w:hAnsi="Times New Roman" w:cs="Times New Roman"/>
          <w:lang w:eastAsia="zh-CN"/>
        </w:rPr>
        <w:t>，</w:t>
      </w:r>
      <w:r>
        <w:rPr>
          <w:rFonts w:hint="default" w:ascii="Times New Roman" w:hAnsi="Times New Roman" w:cs="Times New Roman"/>
        </w:rPr>
        <w:t>其次由同一实验员来进行操作可减少人为误差。</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8"/>
          <w:szCs w:val="28"/>
          <w:lang w:val="en-US" w:eastAsia="zh-CN"/>
        </w:rPr>
      </w:pPr>
      <w:r>
        <w:rPr>
          <w:rFonts w:hint="default" w:ascii="Times New Roman" w:hAnsi="Times New Roman" w:cs="Times New Roman"/>
          <w:b/>
          <w:bCs/>
          <w:sz w:val="28"/>
          <w:szCs w:val="28"/>
          <w:lang w:val="en-US" w:eastAsia="zh-CN"/>
        </w:rPr>
        <w:t>问题分析：</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lang w:eastAsia="zh-CN"/>
        </w:rPr>
      </w:pPr>
      <w:r>
        <w:rPr>
          <w:rFonts w:hint="default" w:ascii="Times New Roman" w:hAnsi="Times New Roman" w:cs="Times New Roman"/>
        </w:rPr>
        <w:t>如实验结果不理想，请及时对显色结果拍照，保存实验数据，保留所用</w:t>
      </w:r>
      <w:r>
        <w:rPr>
          <w:rFonts w:hint="default" w:ascii="Times New Roman" w:hAnsi="Times New Roman" w:cs="Times New Roman"/>
          <w:lang w:val="en-US" w:eastAsia="zh-CN"/>
        </w:rPr>
        <w:t>酶标</w:t>
      </w:r>
      <w:r>
        <w:rPr>
          <w:rFonts w:hint="default" w:ascii="Times New Roman" w:hAnsi="Times New Roman" w:cs="Times New Roman"/>
        </w:rPr>
        <w:t>板条及未使用试剂，填写售后服务表格（网上下载填写），然后联系我公司技术支持为您解决问题，同时您也可以参考以下资料</w:t>
      </w:r>
      <w:r>
        <w:rPr>
          <w:rFonts w:hint="default" w:ascii="Times New Roman" w:hAnsi="Times New Roman" w:cs="Times New Roman"/>
          <w:lang w:eastAsia="zh-CN"/>
        </w:rPr>
        <w:t>：</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标准曲线差：</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标准品溶液配置有误</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吸液或加液不准，检查移液器及吸头，确认是否正确稀释。</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标准品复溶不当</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开盖前进行离心，检查复溶后是否存在不溶物。</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标准品已降解</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按推荐方式保存和处理标准品。</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洗涤不完全</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保证洗涤时间和洗涤次数及每孔的加液</w:t>
            </w:r>
            <w:r>
              <w:rPr>
                <w:rFonts w:hint="eastAsia" w:ascii="Times New Roman" w:hAnsi="Times New Roman" w:cs="Times New Roman"/>
                <w:lang w:eastAsia="zh-CN"/>
              </w:rPr>
              <w:t>。</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曲线的标度不适合</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尝试使用不同标度绘制曲线。</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移液器加样误差</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正确使用经过校准的移液。</w:t>
            </w:r>
          </w:p>
        </w:tc>
      </w:tr>
    </w:tbl>
    <w:p>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lang w:val="en-US" w:eastAsia="zh-CN"/>
        </w:rPr>
      </w:pPr>
      <w:r>
        <w:rPr>
          <w:rFonts w:hint="default" w:ascii="Times New Roman" w:hAnsi="Times New Roman" w:cs="Times New Roman"/>
          <w:b/>
          <w:bCs/>
          <w:lang w:val="en-US" w:eastAsia="zh-CN"/>
        </w:rPr>
        <w:t>无信号：</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靶标含量低于检测范围</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减小样品的稀释倍数或浓缩样品。</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样品类型不适用</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对于没有验证过的样品类型，检测信号可能减弱或没有使用验证过的样品类型作为阳性对照同时进行检测。</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检测缓冲液的相容性</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确保检测缓冲液与靶标兼容</w:t>
            </w:r>
            <w:r>
              <w:rPr>
                <w:rFonts w:hint="eastAsia" w:ascii="Times New Roman" w:hAnsi="Times New Roman" w:cs="Times New Roman"/>
                <w:lang w:eastAsia="zh-CN"/>
              </w:rPr>
              <w:t>。</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样品制备不正确</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确保进行正确的样品制备/稀释。样品可能与微量滴定板测定形式不兼容。</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抗体不足</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尝试不同的抗体浓度/稀释。</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孵育温度过低</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eastAsia" w:ascii="Times New Roman" w:hAnsi="Times New Roman" w:cs="Times New Roman"/>
                <w:lang w:val="en-US" w:eastAsia="zh-CN"/>
              </w:rPr>
              <w:t>使用</w:t>
            </w:r>
            <w:r>
              <w:rPr>
                <w:rFonts w:hint="default" w:ascii="Times New Roman" w:hAnsi="Times New Roman" w:cs="Times New Roman"/>
              </w:rPr>
              <w:t>前应处于室温，或试剂的实验方案所建议的温度。</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波长不正确</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确认波长，再次读板。</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孔板被强力洗涤</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检查并确保自动洗涤系统的压力正确。如果手动洗涤，则轻轻吸取冲洗缓冲液。</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孔变干</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测定开始后，不要让孔变干。将所有的孵育步骤使用封口膜密封孔板。</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酶反应的显色速度慢</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使用前配制底物溶液。确保母液未过期、未污染。延长孵育时间。</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试剂盒没有充分平衡</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试剂室温平衡至少20分钟，确保所有试剂已平衡至室温。</w:t>
            </w:r>
          </w:p>
        </w:tc>
      </w:tr>
    </w:tbl>
    <w:p>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rPr>
        <w:drawing>
          <wp:anchor distT="0" distB="0" distL="114300" distR="114300" simplePos="0" relativeHeight="25168896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0" name="图片 3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 name="图片 3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b/>
          <w:bCs/>
          <w:sz w:val="24"/>
          <w:szCs w:val="24"/>
          <w:lang w:val="en-US" w:eastAsia="zh-CN"/>
        </w:rPr>
        <w:t>变异系数大</w:t>
      </w:r>
      <w:r>
        <w:rPr>
          <w:rFonts w:hint="default"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trPr>
          <w:trHeight w:val="308"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trPr>
          <w:trHeight w:val="305"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孔中有气泡</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读板前，确保不存在气泡。</w:t>
            </w:r>
          </w:p>
        </w:tc>
      </w:tr>
      <w:tr>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孔洗涤不均/未充分洗涤</w:t>
            </w:r>
          </w:p>
        </w:tc>
        <w:tc>
          <w:tcPr>
            <w:tcW w:w="6406"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检查洗板机的所有管口是否畅通。使用推荐方法进行洗涤。</w:t>
            </w:r>
          </w:p>
        </w:tc>
      </w:tr>
      <w:tr>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试剂混匀不充分</w:t>
            </w:r>
          </w:p>
        </w:tc>
        <w:tc>
          <w:tcPr>
            <w:tcW w:w="6406"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确保所有试剂充分混匀。</w:t>
            </w:r>
          </w:p>
        </w:tc>
      </w:tr>
      <w:tr>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边缘效应</w:t>
            </w:r>
          </w:p>
        </w:tc>
        <w:tc>
          <w:tcPr>
            <w:tcW w:w="6406"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确保孔板和所有试剂处于室温。</w:t>
            </w:r>
          </w:p>
        </w:tc>
      </w:tr>
      <w:tr>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样品制备或保存条件不一致</w:t>
            </w:r>
          </w:p>
        </w:tc>
        <w:tc>
          <w:tcPr>
            <w:tcW w:w="6406"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确保样品制备保持一致，使用最优的样品保存条件（例如尽可能减少反复冻融）。</w:t>
            </w:r>
          </w:p>
        </w:tc>
      </w:tr>
    </w:tbl>
    <w:p>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lang w:val="en-US" w:eastAsia="zh-CN"/>
        </w:rPr>
        <w:t>背景偏高：</w:t>
      </w:r>
      <w:r>
        <w:rPr>
          <w:rFonts w:hint="default" w:ascii="Times New Roman" w:hAnsi="Times New Roman" w:eastAsia="宋体" w:cs="Times New Roman"/>
          <w:b/>
          <w:bCs/>
          <w:sz w:val="24"/>
          <w:szCs w:val="24"/>
        </w:rPr>
        <w:tab/>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孔洗涤不充分</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按照实验方案建议进行洗涤。</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洗涤缓冲液污染</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制备新鲜的洗涤缓冲液。</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检测试剂过多</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确保试剂被正确稀释或者减少检测试剂的推荐浓度。</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封闭缓冲液无效</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尝试不同的封闭剂和/或将封闭剂添加到洗涤缓冲液。</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孵育/洗涤缓冲液的盐浓度</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增加盐浓度可能会降低非特异性和/或减弱脱靶相互用。</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读板前加入终止液后时间太长</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添加终止液后立即读板。</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高抗体浓度</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尝试不同的稀释度，以获得最优结果。</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底物孵育在光下进行</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eastAsia="宋体" w:cs="Times New Roman"/>
                <w:sz w:val="24"/>
                <w:szCs w:val="24"/>
              </w:rPr>
              <w:t>底物孵育应避光进行</w:t>
            </w:r>
            <w:r>
              <w:rPr>
                <w:rFonts w:hint="eastAsia" w:ascii="Times New Roman" w:hAnsi="Times New Roman" w:cs="Times New Roman"/>
                <w:sz w:val="24"/>
                <w:szCs w:val="24"/>
                <w:lang w:eastAsia="zh-CN"/>
              </w:rPr>
              <w:t>。</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底物加入后孔中有沉淀生成</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增大样品的稀释倍数或降低底物浓度。</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孔板脏</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清洁孔板底部。</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显色液变质或者试剂过期</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检查试剂盒有效期</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在有效期内使用</w:t>
            </w:r>
            <w:r>
              <w:rPr>
                <w:rFonts w:hint="eastAsia" w:ascii="Times New Roman" w:hAnsi="Times New Roman" w:cs="Times New Roman"/>
                <w:sz w:val="24"/>
                <w:szCs w:val="24"/>
                <w:lang w:eastAsia="zh-CN"/>
              </w:rPr>
              <w:t>。</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孵育时间和温度的改变</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按照说明书上推荐的时间和温度操作</w:t>
            </w:r>
            <w:r>
              <w:rPr>
                <w:rFonts w:hint="eastAsia" w:ascii="Times New Roman" w:hAnsi="Times New Roman" w:cs="Times New Roman"/>
                <w:sz w:val="24"/>
                <w:szCs w:val="24"/>
                <w:lang w:eastAsia="zh-CN"/>
              </w:rPr>
              <w:t>。</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封板膜重复使用</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及时更换使用过的封板膜</w:t>
            </w:r>
            <w:r>
              <w:rPr>
                <w:rFonts w:hint="eastAsia" w:ascii="Times New Roman" w:hAnsi="Times New Roman" w:cs="Times New Roman"/>
                <w:sz w:val="24"/>
                <w:szCs w:val="24"/>
                <w:lang w:eastAsia="zh-CN"/>
              </w:rPr>
              <w:t>。</w:t>
            </w:r>
          </w:p>
        </w:tc>
      </w:tr>
    </w:tbl>
    <w:p>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p>
    <w:p>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灵敏度偏低</w:t>
      </w:r>
      <w:r>
        <w:rPr>
          <w:rFonts w:hint="default" w:ascii="Times New Roman" w:hAnsi="Times New Roman" w:cs="Times New Roman"/>
          <w:b/>
          <w:bCs/>
          <w:sz w:val="24"/>
          <w:szCs w:val="24"/>
          <w:lang w:eastAsia="zh-CN"/>
        </w:rPr>
        <w:t>：</w:t>
      </w:r>
      <w:r>
        <w:rPr>
          <w:rFonts w:hint="default" w:ascii="Times New Roman" w:hAnsi="Times New Roman" w:cs="Times New Roman"/>
        </w:rPr>
        <w:drawing>
          <wp:anchor distT="0" distB="0" distL="114300" distR="114300" simplePos="0" relativeHeight="2516899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1" name="图片 3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 name="图片 3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ELISA试剂盒保存不当</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按推荐方式保存所有试剂。</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靶标不足</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浓缩样品或降低样品稀释度。</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检测试剂失活</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确保报告酶/荧光素具有预期的活性。</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酶标仪设置不正确</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在检测中，确保酶标仪设置为正确的吸收波长或激发/发射波长。</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微量滴定板吸附靶标的效果不佳</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将靶标共价结合到微量滴定板。</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样品类型不兼容（例如血清与细胞提取物）</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对于没有验证过的样品种属，检测信号可能减弱或没有。</w:t>
            </w:r>
          </w:p>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使用验证过的样品类型作为阳性对照同时进行检测。</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缓冲液或样品成分干扰</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确认试剂中是否存在干扰性化合物，例如，抗体中的叠氮化钠会抑制HRP酶。</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混合或混用不同试剂盒的试剂</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避免混合来自不同试剂盒的试剂。</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试剂盒没有充分平衡</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试剂室温平衡至少20分钟，确保所有试剂已平衡至室温。</w:t>
            </w:r>
          </w:p>
        </w:tc>
      </w:tr>
    </w:tbl>
    <w:p>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8"/>
          <w:szCs w:val="28"/>
          <w:lang w:val="en-US" w:eastAsia="zh-CN"/>
        </w:rPr>
      </w:pPr>
      <w:r>
        <w:rPr>
          <w:rFonts w:hint="default" w:ascii="Times New Roman" w:hAnsi="Times New Roman" w:eastAsia="宋体" w:cs="Times New Roman"/>
          <w:b/>
          <w:bCs/>
          <w:sz w:val="28"/>
          <w:szCs w:val="28"/>
          <w:lang w:val="en-US" w:eastAsia="zh-CN"/>
        </w:rPr>
        <w:t>声明：</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w:t>
      </w:r>
      <w:r>
        <w:rPr>
          <w:rFonts w:hint="default" w:ascii="Times New Roman" w:hAnsi="Times New Roman" w:eastAsia="宋体" w:cs="Times New Roman"/>
          <w:sz w:val="24"/>
          <w:szCs w:val="24"/>
        </w:rPr>
        <w:t xml:space="preserve">本公司只对试剂盒本身负责，不对因使用该试剂盒所造成的样本消耗负责，请使用者使用前充分考虑到样本的可能使用量，预留充足的样本。最终的实验结果与试剂的有效性、实验者的相关操作以及实验环境密切相关。 </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2、</w:t>
      </w:r>
      <w:r>
        <w:rPr>
          <w:rFonts w:hint="default" w:ascii="Times New Roman" w:hAnsi="Times New Roman" w:eastAsia="宋体" w:cs="Times New Roman"/>
          <w:sz w:val="24"/>
          <w:szCs w:val="24"/>
        </w:rPr>
        <w:t xml:space="preserve">由于现有条件及科学技术水平尚不能对供货商提供的所有原料进行全面的鉴定与分析，本产品可能存在一定的质量技术风险，如实验失败，使用者自己承担风险，公司不承担试剂盒以外的任何实验失败损失。 </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3、</w:t>
      </w:r>
      <w:r>
        <w:rPr>
          <w:rFonts w:hint="default" w:ascii="Times New Roman" w:hAnsi="Times New Roman" w:eastAsia="宋体" w:cs="Times New Roman"/>
          <w:sz w:val="24"/>
          <w:szCs w:val="24"/>
        </w:rPr>
        <w:t xml:space="preserve">若所检样本不包含在说明书所列样本之中，建议进行预实验，验证其有效性，并注意留存样本。 </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4、</w:t>
      </w:r>
      <w:r>
        <w:rPr>
          <w:rFonts w:hint="default" w:ascii="Times New Roman" w:hAnsi="Times New Roman" w:eastAsia="宋体" w:cs="Times New Roman"/>
          <w:sz w:val="24"/>
          <w:szCs w:val="24"/>
        </w:rPr>
        <w:t xml:space="preserve">使用化学裂解液制备的组织匀浆或细胞提取液可能会由于某些化学物质的引入导致ELISA实验结果偏差。 </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5、</w:t>
      </w:r>
      <w:r>
        <w:rPr>
          <w:rFonts w:hint="default" w:ascii="Times New Roman" w:hAnsi="Times New Roman" w:eastAsia="宋体" w:cs="Times New Roman"/>
          <w:sz w:val="24"/>
          <w:szCs w:val="24"/>
        </w:rPr>
        <w:t xml:space="preserve">细胞培养上清样品，因该类样本干扰因素较多，包括细胞状态、细胞活力，细胞数量，以及采样时间等因素，所以可能存在检测不出的情况。 </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6、</w:t>
      </w:r>
      <w:r>
        <w:rPr>
          <w:rFonts w:hint="default" w:ascii="Times New Roman" w:hAnsi="Times New Roman" w:eastAsia="宋体" w:cs="Times New Roman"/>
          <w:sz w:val="24"/>
          <w:szCs w:val="24"/>
        </w:rPr>
        <w:t xml:space="preserve">某些天然蛋白或重组蛋白，包括原核及真核重组蛋白，可能因为与本产品所使用的检测抗体及捕获抗体不匹配，而不被检测出。 </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7、</w:t>
      </w:r>
      <w:r>
        <w:rPr>
          <w:rFonts w:hint="default" w:ascii="Times New Roman" w:hAnsi="Times New Roman" w:eastAsia="宋体" w:cs="Times New Roman"/>
          <w:sz w:val="24"/>
          <w:szCs w:val="24"/>
        </w:rPr>
        <w:t>不同批次的同一产品可能会有少许差别，如</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检测限、灵敏度以及显色时间等，请依据试剂盒内说明书为准，网站电子</w:t>
      </w:r>
      <w:r>
        <w:rPr>
          <w:rFonts w:hint="default" w:ascii="Times New Roman" w:hAnsi="Times New Roman" w:cs="Times New Roman"/>
        </w:rPr>
        <w:drawing>
          <wp:anchor distT="0" distB="0" distL="114300" distR="114300" simplePos="0" relativeHeight="25167052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2" name="图片 1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图片 1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sz w:val="24"/>
          <w:szCs w:val="24"/>
        </w:rPr>
        <w:t>版说明书仅作参考。</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8、</w:t>
      </w:r>
      <w:r>
        <w:rPr>
          <w:rFonts w:hint="default" w:ascii="Times New Roman" w:hAnsi="Times New Roman" w:eastAsia="宋体" w:cs="Times New Roman"/>
          <w:sz w:val="24"/>
          <w:szCs w:val="24"/>
        </w:rPr>
        <w:t>只有全部使用试剂盒中的试剂才能保证检测效果，不能混用其他制造商的产品，只有严格遵守本试剂盒的实验说明才会得到最佳的检测结果。</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9、</w:t>
      </w:r>
      <w:r>
        <w:rPr>
          <w:rFonts w:hint="default" w:ascii="Times New Roman" w:hAnsi="Times New Roman" w:eastAsia="宋体" w:cs="Times New Roman"/>
          <w:sz w:val="24"/>
          <w:szCs w:val="24"/>
        </w:rPr>
        <w:t>在储存运输过程中避免将试剂暴露在强光中，所有试剂瓶盖须盖紧以防止蒸发和微生物污染，导致试剂失效或污染而结果不准确。</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10、</w:t>
      </w:r>
      <w:r>
        <w:rPr>
          <w:rFonts w:hint="default" w:ascii="Times New Roman" w:hAnsi="Times New Roman" w:eastAsia="宋体" w:cs="Times New Roman"/>
          <w:sz w:val="24"/>
          <w:szCs w:val="24"/>
        </w:rPr>
        <w:t>刚开启的酶标板板孔中可能会有少许水样物质，此为正常现象，不会对实验结果造成任何影响，酶标板在使用时从包装袋里取出，请勿提前取出。</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11、</w:t>
      </w:r>
      <w:r>
        <w:rPr>
          <w:rFonts w:hint="default" w:ascii="Times New Roman" w:hAnsi="Times New Roman" w:eastAsia="宋体" w:cs="Times New Roman"/>
          <w:sz w:val="24"/>
          <w:szCs w:val="24"/>
        </w:rPr>
        <w:t>在样本制备以及操作的每个过程中的变化都可能导致不同的实验结果，所以为了提高实验结果的可重复性，实验的每一步操作都需要严格控制。</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12、</w:t>
      </w:r>
      <w:r>
        <w:rPr>
          <w:rFonts w:hint="default" w:ascii="Times New Roman" w:hAnsi="Times New Roman" w:eastAsia="宋体" w:cs="Times New Roman"/>
          <w:sz w:val="24"/>
          <w:szCs w:val="24"/>
        </w:rPr>
        <w:t>试剂盒在出厂前均经过严格质检，但由于运输条件及各实验室条件差异，可能会造成实验结果与出厂结果不一致或不同批次试剂盒批间差增大的情况。</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13、</w:t>
      </w:r>
      <w:r>
        <w:rPr>
          <w:rFonts w:hint="default" w:ascii="Times New Roman" w:hAnsi="Times New Roman" w:eastAsia="宋体" w:cs="Times New Roman"/>
          <w:sz w:val="24"/>
          <w:szCs w:val="24"/>
        </w:rPr>
        <w:t xml:space="preserve">本试剂盒未与其他厂家同类试剂盒或不同方法检测同一目的蛋白的产品做对比，所以不排除检测结果不一致的情况。 </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14、</w:t>
      </w:r>
      <w:r>
        <w:rPr>
          <w:rFonts w:hint="default" w:ascii="Times New Roman" w:hAnsi="Times New Roman" w:eastAsia="宋体" w:cs="Times New Roman"/>
          <w:sz w:val="24"/>
          <w:szCs w:val="24"/>
        </w:rPr>
        <w:t>用于制备试剂盒中抗体的免疫原通常为重组蛋白，但由于制备重组蛋白所选取的片段、表达系统、纯化方式等各有不同，所以我们无法保证该试剂盒可用于其他公司重组蛋白的检测。</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15、</w:t>
      </w:r>
      <w:r>
        <w:rPr>
          <w:rFonts w:hint="default" w:ascii="Times New Roman" w:hAnsi="Times New Roman" w:eastAsia="宋体" w:cs="Times New Roman"/>
          <w:sz w:val="24"/>
          <w:szCs w:val="24"/>
        </w:rPr>
        <w:t>该试剂盒可能不适用于一些实验本身有效性不确定的特殊实验样品的检测，例如，基因敲除实验等样品。</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16、</w:t>
      </w:r>
      <w:r>
        <w:rPr>
          <w:rFonts w:hint="default" w:ascii="Times New Roman" w:hAnsi="Times New Roman" w:eastAsia="宋体" w:cs="Times New Roman"/>
          <w:sz w:val="24"/>
          <w:szCs w:val="24"/>
        </w:rPr>
        <w:t>该试剂盒仅供研究使用，如将其用于临床诊断或任何其他用途，我公司将不对因此产生的问题负责，亦不承担任何法律责任。</w:t>
      </w:r>
    </w:p>
    <w:p>
      <w:pPr>
        <w:rPr>
          <w:rFonts w:hint="default" w:ascii="Times New Roman" w:hAnsi="Times New Roman" w:cs="Times New Roman"/>
          <w:sz w:val="22"/>
          <w:szCs w:val="22"/>
        </w:rPr>
      </w:pPr>
    </w:p>
    <w:p>
      <w:pPr>
        <w:rPr>
          <w:rFonts w:hint="default" w:ascii="Times New Roman" w:hAnsi="Times New Roman" w:cs="Times New Roman"/>
          <w:b/>
          <w:bCs/>
          <w:sz w:val="36"/>
          <w:szCs w:val="36"/>
        </w:rPr>
      </w:pPr>
      <w:r>
        <w:rPr>
          <w:rFonts w:hint="default" w:ascii="Times New Roman" w:hAnsi="Times New Roman" w:cs="Times New Roman"/>
          <w:b/>
          <w:bCs/>
          <w:sz w:val="36"/>
          <w:szCs w:val="36"/>
        </w:rPr>
        <w:br w:type="page"/>
      </w:r>
    </w:p>
    <w:p>
      <w:pPr>
        <w:keepNext w:val="0"/>
        <w:keepLines w:val="0"/>
        <w:pageBreakBefore w:val="0"/>
        <w:widowControl/>
        <w:kinsoku/>
        <w:wordWrap/>
        <w:overflowPunct/>
        <w:topLinePunct w:val="0"/>
        <w:autoSpaceDE/>
        <w:autoSpaceDN/>
        <w:bidi w:val="0"/>
        <w:adjustRightInd/>
        <w:snapToGrid/>
        <w:spacing w:after="157" w:afterLines="50" w:line="360" w:lineRule="auto"/>
        <w:jc w:val="center"/>
        <w:textAlignment w:val="auto"/>
        <w:rPr>
          <w:rFonts w:hint="default" w:ascii="Times New Roman" w:hAnsi="Times New Roman" w:cs="Times New Roman"/>
          <w:sz w:val="24"/>
          <w:szCs w:val="24"/>
        </w:rPr>
      </w:pPr>
      <w:r>
        <w:rPr>
          <w:rFonts w:hint="eastAsia"/>
          <w:b/>
          <w:bCs/>
          <w:sz w:val="36"/>
          <w:szCs w:val="36"/>
        </w:rPr>
        <w:t xml:space="preserve">Bovine CHL1/L1CAM-2 Elisa Kit</w:t>
      </w:r>
    </w:p>
    <w:p>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Detection range</w:t>
      </w:r>
      <w:r>
        <w:rPr>
          <w:rFonts w:hint="eastAsia" w:ascii="Times New Roman" w:hAnsi="Times New Roman" w:cs="Times New Roman"/>
          <w:sz w:val="24"/>
          <w:szCs w:val="24"/>
          <w:lang w:val="en-US" w:eastAsia="zh-CN"/>
        </w:rPr>
        <w:t xml:space="preserve">: </w:t>
      </w:r>
      <w:r>
        <w:rPr>
          <w:rFonts w:hint="eastAsia"/>
        </w:rPr>
        <w:t xml:space="preserve">0.156–10ng/ml</w:t>
      </w:r>
    </w:p>
    <w:p>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Sensitivity</w:t>
      </w:r>
      <w:r>
        <w:rPr>
          <w:rFonts w:hint="eastAsia" w:ascii="Times New Roman" w:hAnsi="Times New Roman" w:cs="Times New Roman"/>
          <w:sz w:val="24"/>
          <w:szCs w:val="24"/>
          <w:lang w:val="en-US" w:eastAsia="zh-CN"/>
        </w:rPr>
        <w:t xml:space="preserve">: </w:t>
      </w:r>
      <w:r>
        <w:rPr>
          <w:rFonts w:hint="eastAsia"/>
        </w:rPr>
        <w:t xml:space="preserve">0.031ng/ml</w:t>
      </w:r>
    </w:p>
    <w:p>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The standard curve corresponds to the co</w:t>
      </w:r>
      <w:bookmarkStart w:id="0" w:name="_GoBack"/>
      <w:r>
        <w:rPr>
          <w:rFonts w:hint="default" w:ascii="Times New Roman" w:hAnsi="Times New Roman" w:cs="Times New Roman"/>
        </w:rPr>
        <w:drawing>
          <wp:anchor distT="0" distB="0" distL="114300" distR="114300" simplePos="0" relativeHeight="25167155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3" name="图片 1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图片 1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bookmarkEnd w:id="0"/>
      <w:r>
        <w:rPr>
          <w:rFonts w:hint="default" w:ascii="Times New Roman" w:hAnsi="Times New Roman" w:cs="Times New Roman"/>
          <w:sz w:val="24"/>
          <w:szCs w:val="24"/>
        </w:rPr>
        <w:t>ncentration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rPr>
        <w:t xml:space="preserve">ng/ml</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36"/>
        <w:gridCol w:w="1036"/>
        <w:gridCol w:w="1036"/>
        <w:gridCol w:w="1036"/>
        <w:gridCol w:w="1036"/>
        <w:gridCol w:w="1036"/>
        <w:gridCol w:w="1037"/>
        <w:gridCol w:w="1037"/>
      </w:tblGrid>
      <w:tr>
        <w:trPr>
          <w:jc w:val="center"/>
        </w:trPr>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S1</w:t>
            </w:r>
          </w:p>
        </w:tc>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S2</w:t>
            </w:r>
          </w:p>
        </w:tc>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S3</w:t>
            </w:r>
          </w:p>
        </w:tc>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S4</w:t>
            </w:r>
          </w:p>
        </w:tc>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S5</w:t>
            </w:r>
          </w:p>
        </w:tc>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S6</w:t>
            </w:r>
          </w:p>
        </w:tc>
        <w:tc>
          <w:tcPr>
            <w:tcW w:w="1037"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S7</w:t>
            </w:r>
          </w:p>
        </w:tc>
        <w:tc>
          <w:tcPr>
            <w:tcW w:w="1037"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blank</w:t>
            </w:r>
          </w:p>
        </w:tc>
      </w:tr>
      <w:tr>
        <w:trPr>
          <w:jc w:val="center"/>
        </w:trPr>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 xml:space="preserve">10.0</w:t>
            </w:r>
          </w:p>
        </w:tc>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 xml:space="preserve">5.0</w:t>
            </w:r>
          </w:p>
        </w:tc>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 xml:space="preserve">2.5</w:t>
            </w:r>
          </w:p>
        </w:tc>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 xml:space="preserve">1.25</w:t>
            </w:r>
          </w:p>
        </w:tc>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 xml:space="preserve">0.62</w:t>
            </w:r>
          </w:p>
        </w:tc>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 xml:space="preserve">0.31</w:t>
            </w:r>
          </w:p>
        </w:tc>
        <w:tc>
          <w:tcPr>
            <w:tcW w:w="1037"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 xml:space="preserve">0.156</w:t>
            </w:r>
          </w:p>
        </w:tc>
        <w:tc>
          <w:tcPr>
            <w:tcW w:w="1037"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0</w:t>
            </w:r>
          </w:p>
        </w:tc>
      </w:tr>
    </w:tbl>
    <w:p>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Specifications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48T/96T/96T×5</w:t>
      </w:r>
    </w:p>
    <w:p>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Preservation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w:t>
      </w:r>
    </w:p>
    <w:p>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Shelf life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6 months</w:t>
      </w:r>
    </w:p>
    <w:p>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Specificity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There is no significant cross-reaction between the system and other analogues.</w:t>
      </w:r>
    </w:p>
    <w:p>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Precision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Average in-board coefficient of variation &lt;9%, inter-board coefficient of variation &lt;10%.</w:t>
      </w:r>
    </w:p>
    <w:p>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Usage</w:t>
      </w:r>
      <w:r>
        <w:rPr>
          <w:rFonts w:hint="eastAsia" w:ascii="Times New Roman" w:hAnsi="Times New Roman" w:cs="Times New Roman"/>
          <w:sz w:val="24"/>
          <w:szCs w:val="24"/>
          <w:lang w:eastAsia="zh-CN"/>
        </w:rPr>
        <w:t>:</w:t>
      </w:r>
      <w:r>
        <w:rPr>
          <w:rFonts w:hint="default" w:ascii="Times New Roman" w:hAnsi="Times New Roman" w:cs="Times New Roman"/>
          <w:sz w:val="24"/>
          <w:szCs w:val="24"/>
        </w:rPr>
        <w:t xml:space="preserve"> Suitable for in vitro detection of serum, plasma, urine, tissue homogenization and other animal body fluids. For other sample types, please consult Technical Support.</w:t>
      </w:r>
    </w:p>
    <w:p>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lang w:val="en-US" w:eastAsia="zh-CN"/>
        </w:rPr>
        <w:t>Introduction:</w:t>
      </w:r>
      <w:r>
        <w:rPr>
          <w:rFonts w:hint="eastAsia" w:ascii="Times New Roman" w:hAnsi="Times New Roman" w:cs="Times New Roman"/>
          <w:sz w:val="24"/>
          <w:szCs w:val="24"/>
          <w:lang w:val="en-US" w:eastAsia="zh-CN"/>
        </w:rPr>
        <w:t xml:space="preserve"> </w:t>
      </w:r>
      <w:r>
        <w:rPr>
          <w:rFonts w:hint="eastAsia"/>
        </w:rPr>
        <w:t xml:space="preserve">Neural cell adhesion molecule L1-like protein also known as close homolog of L1 (CHL1) is a protein that in humans is encoded by the CHL1 gene. This protein is a member of the L1 gene family of neural cell adhesion molecules. By FISH, the CHL1 gene was mapped to chromosome 3p26.1. The protein however has dynamic localisation, meaning that it has not only multiple roles in the cell, but also various locations. This protein may also play a role in the growth of certain cancers.</w:t>
      </w:r>
    </w:p>
    <w:p>
      <w:pPr>
        <w:keepNext w:val="0"/>
        <w:keepLines w:val="0"/>
        <w:pageBreakBefore w:val="0"/>
        <w:widowControl/>
        <w:suppressLineNumbers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color w:val="000000"/>
          <w:kern w:val="0"/>
          <w:sz w:val="24"/>
          <w:szCs w:val="24"/>
          <w:lang w:val="en-US" w:eastAsia="zh-CN" w:bidi="ar"/>
        </w:rPr>
      </w:pPr>
    </w:p>
    <w:p>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br w:type="page"/>
      </w:r>
    </w:p>
    <w:p>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t>This kit is for scientific research purposes only and is not intended for clinical diagnosis! Be sure to read the instructions carefully before use!</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Please read the instruction carefully before use, if you have any questions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please contact us through the following ways: </w:t>
      </w:r>
      <w:r>
        <w:rPr>
          <w:rFonts w:hint="default" w:ascii="Times New Roman" w:hAnsi="Times New Roman" w:cs="Times New Roman"/>
        </w:rPr>
        <w:drawing>
          <wp:anchor distT="0" distB="0" distL="114300" distR="114300" simplePos="0" relativeHeight="25167257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4" name="图片 1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图片 1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Tel: </w:t>
      </w:r>
      <w:r>
        <w:rPr>
          <w:rFonts w:hint="default" w:ascii="Times New Roman" w:hAnsi="Times New Roman" w:cs="Times New Roman"/>
        </w:rPr>
        <w:t>021-60870486</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E-m</w:t>
      </w:r>
      <w:r>
        <w:rPr>
          <w:rFonts w:hint="default" w:ascii="Times New Roman" w:hAnsi="Times New Roman" w:cs="Times New Roman"/>
          <w:sz w:val="24"/>
          <w:szCs w:val="24"/>
        </w:rPr>
        <w:t>ail: 2715809397@qq.com</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sz w:val="24"/>
          <w:szCs w:val="24"/>
        </w:rPr>
        <w:t>Website: www.kjsbio.com</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val="0"/>
          <w:bCs w:val="0"/>
          <w:sz w:val="24"/>
          <w:szCs w:val="24"/>
        </w:rPr>
      </w:pPr>
      <w:r>
        <w:rPr>
          <w:rFonts w:hint="default" w:ascii="Times New Roman" w:hAnsi="Times New Roman" w:cs="Times New Roman"/>
          <w:b w:val="0"/>
          <w:bCs w:val="0"/>
          <w:sz w:val="24"/>
          <w:szCs w:val="24"/>
        </w:rPr>
        <w:t>For specific shelf life, please refer to the outer packaging label of the kit, please use the kit during the shelf life.</w:t>
      </w:r>
    </w:p>
    <w:p>
      <w:pPr>
        <w:rPr>
          <w:rFonts w:hint="default" w:ascii="Times New Roman" w:hAnsi="Times New Roman" w:cs="Times New Roman"/>
          <w:b/>
          <w:bCs/>
          <w:sz w:val="28"/>
          <w:szCs w:val="28"/>
        </w:rPr>
      </w:pPr>
    </w:p>
    <w:p>
      <w:pPr>
        <w:rPr>
          <w:rFonts w:hint="default" w:ascii="Times New Roman" w:hAnsi="Times New Roman" w:cs="Times New Roman"/>
          <w:b/>
          <w:bCs/>
          <w:sz w:val="28"/>
          <w:szCs w:val="28"/>
        </w:rPr>
      </w:pPr>
    </w:p>
    <w:p>
      <w:pPr>
        <w:rPr>
          <w:rFonts w:hint="default" w:ascii="Times New Roman" w:hAnsi="Times New Roman" w:cs="Times New Roman"/>
          <w:b/>
          <w:bCs/>
          <w:sz w:val="28"/>
          <w:szCs w:val="28"/>
        </w:rPr>
      </w:pPr>
    </w:p>
    <w:p>
      <w:pPr>
        <w:rPr>
          <w:rFonts w:hint="default" w:ascii="Times New Roman" w:hAnsi="Times New Roman" w:cs="Times New Roman"/>
          <w:b/>
          <w:bCs/>
          <w:sz w:val="28"/>
          <w:szCs w:val="28"/>
        </w:rPr>
      </w:pPr>
    </w:p>
    <w:p>
      <w:pPr>
        <w:rPr>
          <w:rFonts w:hint="default" w:ascii="Times New Roman" w:hAnsi="Times New Roman" w:cs="Times New Roman"/>
          <w:b/>
          <w:bCs/>
          <w:sz w:val="28"/>
          <w:szCs w:val="28"/>
        </w:rPr>
      </w:pPr>
      <w:r>
        <w:rPr>
          <w:rFonts w:hint="default" w:ascii="Times New Roman" w:hAnsi="Times New Roman" w:cs="Times New Roman"/>
          <w:b/>
          <w:bCs/>
          <w:sz w:val="28"/>
          <w:szCs w:val="28"/>
        </w:rPr>
        <w:t>Detection principle:</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kit adopts the double antibody "sandwich method", the capture antibody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coated on the enzyme plate, the sample to be examined and the standard are added to</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 reaction well of the enzyme plate, the capture antibody captures the corresponding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protein of interest, the detection antibody labeled with the enzyme of interest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combined with the protein of interest, forming a complex of the detection antibody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of the capture antibody - protein of interest - horseradish peroxidase label, after</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washing the liquid, the unbound components are washed off, and the color-developing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substrate TMB is added, and the TMB is blue under the catalysis of horseradish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peroxidase. It turns yellow after adding the stop solution. The OD value was measured</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at a wavelength of 450 nm with a microplate reader, the shade of color was positively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correlated with the concentration of the protein of interest in the sample, and the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concentration of the protein of interest in the sample was calculated by plotting a</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standard curve.</w:t>
      </w:r>
    </w:p>
    <w:p>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Components of the kit:</w:t>
      </w:r>
      <w:r>
        <w:rPr>
          <w:rFonts w:hint="default" w:ascii="Times New Roman" w:hAnsi="Times New Roman" w:cs="Times New Roman"/>
        </w:rPr>
        <w:drawing>
          <wp:anchor distT="0" distB="0" distL="114300" distR="114300" simplePos="0" relativeHeight="25167360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5" name="图片 2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图片 2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9"/>
        <w:tblW w:w="918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118"/>
        <w:gridCol w:w="1525"/>
        <w:gridCol w:w="1645"/>
        <w:gridCol w:w="1900"/>
      </w:tblGrid>
      <w:tr>
        <w:trPr>
          <w:trHeight w:val="510" w:hRule="atLeast"/>
          <w:jc w:val="center"/>
        </w:trPr>
        <w:tc>
          <w:tcPr>
            <w:tcW w:w="4118" w:type="dxa"/>
            <w:vMerge w:val="restart"/>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b/>
                <w:bCs/>
                <w:color w:val="000000"/>
                <w:kern w:val="0"/>
                <w:sz w:val="24"/>
                <w:szCs w:val="24"/>
                <w:lang w:val="en-US" w:eastAsia="zh-CN" w:bidi="ar"/>
              </w:rPr>
              <w:t>Components</w:t>
            </w:r>
          </w:p>
        </w:tc>
        <w:tc>
          <w:tcPr>
            <w:tcW w:w="5070" w:type="dxa"/>
            <w:gridSpan w:val="3"/>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Specification</w:t>
            </w:r>
          </w:p>
        </w:tc>
      </w:tr>
      <w:tr>
        <w:trPr>
          <w:trHeight w:val="510" w:hRule="atLeast"/>
          <w:jc w:val="center"/>
        </w:trPr>
        <w:tc>
          <w:tcPr>
            <w:tcW w:w="4118" w:type="dxa"/>
            <w:vMerge w:val="continue"/>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p>
        </w:tc>
        <w:tc>
          <w:tcPr>
            <w:tcW w:w="152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48T</w:t>
            </w:r>
          </w:p>
        </w:tc>
        <w:tc>
          <w:tcPr>
            <w:tcW w:w="164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w:t>
            </w:r>
          </w:p>
        </w:tc>
        <w:tc>
          <w:tcPr>
            <w:tcW w:w="1900"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96T×5</w:t>
            </w:r>
          </w:p>
        </w:tc>
      </w:tr>
      <w:tr>
        <w:trPr>
          <w:trHeight w:val="510" w:hRule="atLeast"/>
          <w:jc w:val="center"/>
        </w:trPr>
        <w:tc>
          <w:tcPr>
            <w:tcW w:w="4118"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Coated Wells</w:t>
            </w:r>
          </w:p>
        </w:tc>
        <w:tc>
          <w:tcPr>
            <w:tcW w:w="152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8wells×6strip</w:t>
            </w:r>
          </w:p>
        </w:tc>
        <w:tc>
          <w:tcPr>
            <w:tcW w:w="164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w:t>
            </w:r>
          </w:p>
        </w:tc>
        <w:tc>
          <w:tcPr>
            <w:tcW w:w="1900"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8wells×12strip×5</w:t>
            </w:r>
          </w:p>
        </w:tc>
      </w:tr>
      <w:tr>
        <w:trPr>
          <w:trHeight w:val="510" w:hRule="atLeast"/>
          <w:jc w:val="center"/>
        </w:trPr>
        <w:tc>
          <w:tcPr>
            <w:tcW w:w="4118"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Standard S1</w:t>
            </w:r>
          </w:p>
        </w:tc>
        <w:tc>
          <w:tcPr>
            <w:tcW w:w="152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vial</w:t>
            </w:r>
          </w:p>
        </w:tc>
        <w:tc>
          <w:tcPr>
            <w:tcW w:w="164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1 vial</w:t>
            </w:r>
          </w:p>
        </w:tc>
        <w:tc>
          <w:tcPr>
            <w:tcW w:w="1900"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5 vial</w:t>
            </w:r>
          </w:p>
        </w:tc>
      </w:tr>
      <w:tr>
        <w:trPr>
          <w:trHeight w:val="510" w:hRule="atLeast"/>
          <w:jc w:val="center"/>
        </w:trPr>
        <w:tc>
          <w:tcPr>
            <w:tcW w:w="4118" w:type="dxa"/>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Standard/Sample Diluent</w:t>
            </w:r>
          </w:p>
        </w:tc>
        <w:tc>
          <w:tcPr>
            <w:tcW w:w="152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trPr>
          <w:trHeight w:val="510" w:hRule="atLeast"/>
          <w:jc w:val="center"/>
        </w:trPr>
        <w:tc>
          <w:tcPr>
            <w:tcW w:w="4118" w:type="dxa"/>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100×</w:t>
            </w:r>
          </w:p>
        </w:tc>
        <w:tc>
          <w:tcPr>
            <w:tcW w:w="1525" w:type="dxa"/>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p>
        </w:tc>
        <w:tc>
          <w:tcPr>
            <w:tcW w:w="1900"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trPr>
          <w:trHeight w:val="510" w:hRule="atLeast"/>
          <w:jc w:val="center"/>
        </w:trPr>
        <w:tc>
          <w:tcPr>
            <w:tcW w:w="4118" w:type="dxa"/>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Diluent</w:t>
            </w:r>
          </w:p>
        </w:tc>
        <w:tc>
          <w:tcPr>
            <w:tcW w:w="1525"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trPr>
          <w:trHeight w:val="510" w:hRule="atLeast"/>
          <w:jc w:val="center"/>
        </w:trPr>
        <w:tc>
          <w:tcPr>
            <w:tcW w:w="4118" w:type="dxa"/>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100×</w:t>
            </w:r>
          </w:p>
        </w:tc>
        <w:tc>
          <w:tcPr>
            <w:tcW w:w="1525" w:type="dxa"/>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p>
        </w:tc>
        <w:tc>
          <w:tcPr>
            <w:tcW w:w="1900"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trPr>
          <w:trHeight w:val="510" w:hRule="atLeast"/>
          <w:jc w:val="center"/>
        </w:trPr>
        <w:tc>
          <w:tcPr>
            <w:tcW w:w="4118" w:type="dxa"/>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Diluent</w:t>
            </w:r>
          </w:p>
        </w:tc>
        <w:tc>
          <w:tcPr>
            <w:tcW w:w="1525"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12ml×5</w:t>
            </w:r>
          </w:p>
        </w:tc>
      </w:tr>
      <w:tr>
        <w:trPr>
          <w:trHeight w:val="510" w:hRule="atLeast"/>
          <w:jc w:val="center"/>
        </w:trPr>
        <w:tc>
          <w:tcPr>
            <w:tcW w:w="4118"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TMB Chromogen (A/B)</w:t>
            </w:r>
          </w:p>
        </w:tc>
        <w:tc>
          <w:tcPr>
            <w:tcW w:w="152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trPr>
          <w:trHeight w:val="510" w:hRule="atLeast"/>
          <w:jc w:val="center"/>
        </w:trPr>
        <w:tc>
          <w:tcPr>
            <w:tcW w:w="4118"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Stop Solution</w:t>
            </w:r>
          </w:p>
        </w:tc>
        <w:tc>
          <w:tcPr>
            <w:tcW w:w="152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3ml</w:t>
            </w:r>
          </w:p>
        </w:tc>
        <w:tc>
          <w:tcPr>
            <w:tcW w:w="164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900"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6ml×5</w:t>
            </w:r>
          </w:p>
        </w:tc>
      </w:tr>
      <w:tr>
        <w:trPr>
          <w:trHeight w:val="510" w:hRule="atLeast"/>
          <w:jc w:val="center"/>
        </w:trPr>
        <w:tc>
          <w:tcPr>
            <w:tcW w:w="4118"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30×Wash Buffer</w:t>
            </w:r>
          </w:p>
        </w:tc>
        <w:tc>
          <w:tcPr>
            <w:tcW w:w="152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64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900"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25ml×5</w:t>
            </w:r>
          </w:p>
        </w:tc>
      </w:tr>
      <w:tr>
        <w:trPr>
          <w:trHeight w:val="510" w:hRule="atLeast"/>
          <w:jc w:val="center"/>
        </w:trPr>
        <w:tc>
          <w:tcPr>
            <w:tcW w:w="4118"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Plate Sealer</w:t>
            </w:r>
          </w:p>
        </w:tc>
        <w:tc>
          <w:tcPr>
            <w:tcW w:w="152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w:t>
            </w:r>
          </w:p>
        </w:tc>
        <w:tc>
          <w:tcPr>
            <w:tcW w:w="164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4</w:t>
            </w:r>
          </w:p>
        </w:tc>
        <w:tc>
          <w:tcPr>
            <w:tcW w:w="1900"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15</w:t>
            </w:r>
          </w:p>
        </w:tc>
      </w:tr>
    </w:tbl>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Storage and expiration date of the kit: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Unopened kits are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are valid for 6 months.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After unpacking the kit, pack the unused microplate strip in a self-sealing bag, which is valid for 1 month. </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 xml:space="preserve">Prompt: </w:t>
      </w:r>
    </w:p>
    <w:p>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please check whether the label and quantity of reagents in the kit are consistent with the table, all reagent bottle caps must be tightened to prevent evaporation and microbial contamination, the volume of reagents is subject to the actual shipping version of the instructions, the relevant reagents will be slightly more than the volume indicated on the label when packing, please take the amount of use during use rather than directly pouring out.</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Collection and preservation of samples:</w:t>
      </w:r>
      <w:r>
        <w:rPr>
          <w:rFonts w:hint="default" w:ascii="Times New Roman" w:hAnsi="Times New Roman" w:cs="Times New Roman"/>
        </w:rPr>
        <w:drawing>
          <wp:anchor distT="0" distB="0" distL="114300" distR="114300" simplePos="0" relativeHeight="25167462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6" name="图片 2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图片 2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Serum samples: Place whole blood samples collected in serum isolation tubes at room temperature for 2 hours or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overnight, then centrifuge 1,000 ×g for 15 minutes, take the supernatant, and freeze-store the supernatant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Plasma samples: Specimens are collected with EDTA or heparin sodium anticoagulant tubes and the specimens are centrifuged in a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freezer, 1,000 ×g for 15 minutes within 30 minutes after collection, and the supernatant can be detected by taking the supernatant, or the supernatant is cryopreserved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 xml:space="preserve">Tissue homogenization: </w:t>
      </w:r>
    </w:p>
    <w:p>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A. </w:t>
      </w:r>
      <w:r>
        <w:rPr>
          <w:rFonts w:hint="default" w:ascii="Times New Roman" w:hAnsi="Times New Roman" w:cs="Times New Roman"/>
          <w:sz w:val="24"/>
          <w:szCs w:val="24"/>
        </w:rPr>
        <w:t>Wash and remove blood in pre-chilled PBS (0.01mol/L, pH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7.0-7.2), and accurately weigh the tissue weight after cutting the specimen at low temperature.</w:t>
      </w:r>
    </w:p>
    <w:p>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B. </w:t>
      </w:r>
      <w:r>
        <w:rPr>
          <w:rFonts w:hint="default" w:ascii="Times New Roman" w:hAnsi="Times New Roman" w:cs="Times New Roman"/>
          <w:sz w:val="24"/>
          <w:szCs w:val="24"/>
        </w:rPr>
        <w:t>According to the ratio of weight (g): volume (m</w:t>
      </w:r>
      <w:r>
        <w:rPr>
          <w:rFonts w:hint="eastAsia" w:ascii="Times New Roman" w:hAnsi="Times New Roman" w:cs="Times New Roman"/>
          <w:sz w:val="24"/>
          <w:szCs w:val="24"/>
          <w:lang w:val="en-US" w:eastAsia="zh-CN"/>
        </w:rPr>
        <w:t>l</w:t>
      </w:r>
      <w:r>
        <w:rPr>
          <w:rFonts w:hint="default" w:ascii="Times New Roman" w:hAnsi="Times New Roman" w:cs="Times New Roman"/>
          <w:sz w:val="24"/>
          <w:szCs w:val="24"/>
        </w:rPr>
        <w:t>) =1:9, add 9 times the volume of homogeneous medium PBS. Homogenize the specimens thoroughly by hand or with a homogenizer.</w:t>
      </w:r>
    </w:p>
    <w:p>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C. </w:t>
      </w:r>
      <w:r>
        <w:rPr>
          <w:rFonts w:hint="default" w:ascii="Times New Roman" w:hAnsi="Times New Roman" w:cs="Times New Roman"/>
          <w:sz w:val="24"/>
          <w:szCs w:val="24"/>
        </w:rPr>
        <w:t>Centrifuge 3000 × g for 15 min, carefully collect the homogenized supernatant, discard the pellet, (if necessary for BCA protein quantification of the optional part),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or less.</w:t>
      </w:r>
    </w:p>
    <w:p>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 Cell lysate: Before the analysis test, the cells need to be treated using the following methods:</w:t>
      </w:r>
    </w:p>
    <w:p>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A. Adherent cells should be gently washed with cold PBS, then tripsinized, collected after centrifugation of 1,000 × g for 5 minutes, (suspension cells are collected directly by centrifugation), and the collected cells are washed 3 times with cold PBS.</w:t>
      </w:r>
    </w:p>
    <w:p>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 Dilute the cell suspension with PBS, and the cell concentration reaches about 1 million/ml. By ultrasonic disruption or repeated freeze-thawing, the cells are destroyed and released into the cell components. Centrifuge 3000 × g for 15 min, collect the supernatant carefully and cryopreserve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w:t>
      </w:r>
    </w:p>
    <w:p>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default" w:ascii="Times New Roman" w:hAnsi="Times New Roman" w:cs="Times New Roman"/>
        </w:rPr>
        <w:drawing>
          <wp:anchor distT="0" distB="0" distL="114300" distR="114300" simplePos="0" relativeHeight="25167564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7" name="图片 23"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图片 23"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 Cell culture supernatant or other biological fluid specimens: please centrifuge 3,000 ×g for 15 minutes, take the supernatant to detect, or place the supernatant in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cryopreservation to avoid repeated freeze-thaw.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Prompt: </w:t>
      </w:r>
    </w:p>
    <w:p>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Specimens should be stored sealed,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week,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month.</w:t>
      </w:r>
    </w:p>
    <w:p>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Hemolysis of the specimen will affect the final test result, so the hemolysis specimen should not be tested for ELISA. </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Sample dilution principles:</w:t>
      </w:r>
    </w:p>
    <w:p>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user sho</w:t>
      </w: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d estimate the amount of factors to be measured in the sample to determine whether to perform the appropriate dilution test on the sample so that the concentration of the protein of interest in the sample is within the optimal detection range of this kit.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The reference dilution protocol is as follows:</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tra-low protein content of the sample to be measured</w:t>
      </w:r>
      <w:r>
        <w:rPr>
          <w:rFonts w:hint="eastAsia" w:ascii="Times New Roman" w:hAnsi="Times New Roman" w:cs="Times New Roman"/>
          <w:sz w:val="24"/>
          <w:szCs w:val="24"/>
          <w:lang w:val="en-US" w:eastAsia="zh-CN"/>
        </w:rPr>
        <w:t xml:space="preserve"> ---- </w:t>
      </w:r>
      <w:r>
        <w:rPr>
          <w:rFonts w:hint="default" w:ascii="Times New Roman" w:hAnsi="Times New Roman" w:cs="Times New Roman"/>
          <w:sz w:val="24"/>
          <w:szCs w:val="24"/>
        </w:rPr>
        <w:t>tested after concentration.</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low protein content of interest ---- direct stock solution detection.</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protein content of interest in the sample to be measured ---- detected after dilution. Typically diluted 1:10, 270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high protein content of interest ---- tested after dilution. Dilute typically at 1:100, 297</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has a high protein content of interest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tested after dilution. Generally diluted at 1:1000-10000.</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two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and move to 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2</w:t>
      </w:r>
      <w:r>
        <w:rPr>
          <w:rFonts w:hint="eastAsia" w:ascii="Times New Roman" w:hAnsi="Times New Roman" w:cs="Times New Roman"/>
          <w:sz w:val="24"/>
          <w:szCs w:val="24"/>
          <w:lang w:val="en-US" w:eastAsia="zh-CN"/>
        </w:rPr>
        <w:t>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dilution, and then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A and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total dilution of 1000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three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into 195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solution, diluted 40 times; Then take A solution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and move it to the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w:t>
      </w:r>
      <w:r>
        <w:rPr>
          <w:rFonts w:hint="default" w:ascii="Times New Roman" w:hAnsi="Times New Roman" w:cs="Times New Roman"/>
        </w:rPr>
        <w:drawing>
          <wp:anchor distT="0" distB="0" distL="114300" distR="114300" simplePos="0" relativeHeight="25167667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8" name="图片 2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图片 2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to be B solution, diluted 50 times; Finally, take 60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B solution and move it into a 240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5-fold dilution, for a total dilution of 10,000-fold.</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Serum, plasma, lavage fluid, urine, pleural fluid, saliva and other body fluids are recommended for the detection of the original solution (except for individual indicators), the above scheme is for reference only, it is best to do pre-experiments to determine the dilution multiple, and the dilution of the sample should be recorded in detail.</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Equipment and reagents to be brought by yourself:</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 xml:space="preserve">Microplate reader (with 450 nm filter), preheat the instrument in advance before use.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Single- and multi-channel micropipettes and sterile tips.</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1.5 ml centrifuge tube.</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Distilled or deionized water.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Absorbent paper.</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6</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Measuring cylinder beakers and other containers.</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8"/>
          <w:szCs w:val="28"/>
          <w:lang w:val="en-US" w:eastAsia="zh-CN"/>
        </w:rPr>
      </w:pPr>
      <w:r>
        <w:rPr>
          <w:rFonts w:hint="default" w:ascii="Times New Roman" w:hAnsi="Times New Roman" w:cs="Times New Roman"/>
          <w:b/>
          <w:bCs/>
          <w:sz w:val="28"/>
          <w:szCs w:val="28"/>
        </w:rPr>
        <w:t>Washing method</w:t>
      </w:r>
      <w:r>
        <w:rPr>
          <w:rFonts w:hint="eastAsia" w:ascii="Times New Roman" w:hAnsi="Times New Roman" w:cs="Times New Roman"/>
          <w:b/>
          <w:bCs/>
          <w:sz w:val="28"/>
          <w:szCs w:val="28"/>
          <w:lang w:val="en-US" w:eastAsia="zh-CN"/>
        </w:rPr>
        <w: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Hand washing method:</w:t>
      </w:r>
    </w:p>
    <w:p>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Aspirate or shake off the liquid in the enzyme plate, lay several layers of absorbent paper on the experimental table, pat the enzyme plate down several times, add 1× wash buffer 300ul per well, soak for 1-2 minutes, and repeat this process several times.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Automatic washing:</w:t>
      </w:r>
    </w:p>
    <w:p>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Before washing the plate, check whether the lotion bottle and distilled water bottle are sufficient, and whether the waste liquid bottle is full. </w:t>
      </w:r>
    </w:p>
    <w:p>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self-examination process, pay attention to whether the well-perfusion of the lotion is smooth and whether the discharge is unobstructed. </w:t>
      </w:r>
    </w:p>
    <w:p>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washing process, attention should be paid to observing whether each well of the reaction well is filled and there is no spillage, whether the water absorbed by each well is exhausted, and the time that the lotion is placed in the well should be ensured.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sz w:val="24"/>
          <w:szCs w:val="24"/>
        </w:rPr>
        <w:drawing>
          <wp:anchor distT="0" distB="0" distL="114300" distR="114300" simplePos="0" relativeHeight="25167769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9" name="图片 2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图片 2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4"/>
          <w:szCs w:val="24"/>
        </w:rPr>
        <w:t>Pre-test preparation</w:t>
      </w:r>
      <w:r>
        <w:rPr>
          <w:rFonts w:hint="eastAsia" w:ascii="Times New Roman" w:hAnsi="Times New Roman" w:cs="Times New Roman"/>
          <w:b/>
          <w:bCs/>
          <w:sz w:val="24"/>
          <w:szCs w:val="24"/>
          <w:lang w:val="en-US" w:eastAsia="zh-CN"/>
        </w:rPr>
        <w: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30 minutes before the experimental test, all reagents and samples are balanced to room temperature, can not be heated to melt, the reagents that have been poured out should not be poured back into the bottle, to avoid contamination of the reagents in the bottle, reagent configuration or sample dilution, remember to mix well.</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Each test should be done with a standard curve, and the user should estimate the amount of factor to be measured in the sample to decide whether to perform the appropriate dilution test on the sample so that the concentration of the protein of interest in the sample is within the optimal detection range of this kit.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When the tested sample needs to be diluted, if the standard/sample diluent is insufficient, PBST can be used instead. Please prepare PBST in advance.</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4. </w:t>
      </w:r>
      <w:r>
        <w:rPr>
          <w:rFonts w:hint="default" w:ascii="Times New Roman" w:hAnsi="Times New Roman" w:cs="Times New Roman"/>
          <w:sz w:val="24"/>
          <w:szCs w:val="24"/>
        </w:rPr>
        <w:t>Wash Liquid Configuration: Dilute the concentrated wash solution 1:30 with pure water (1ml concentrated wash solution added to 29ml of pure water). When the dilution and washing liquid is not enough, you can use 1</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PBST instead, if there is crystal precipitation in the washing liquid, please first warm to room temperature, gently mix well, until the crystal is completely dissolved and then prepared, the configuration process please use pure water, to avoid failure due to water pollution caused by experiments.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5. </w:t>
      </w:r>
      <w:r>
        <w:rPr>
          <w:rFonts w:hint="default" w:ascii="Times New Roman" w:hAnsi="Times New Roman" w:cs="Times New Roman"/>
          <w:sz w:val="24"/>
          <w:szCs w:val="24"/>
        </w:rPr>
        <w:t>Antibody working solution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biotin detection antibody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to 10ml antibody diluent.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6. </w:t>
      </w:r>
      <w:r>
        <w:rPr>
          <w:rFonts w:hint="default" w:ascii="Times New Roman" w:hAnsi="Times New Roman" w:cs="Times New Roman"/>
          <w:sz w:val="24"/>
          <w:szCs w:val="24"/>
        </w:rPr>
        <w:t>SABC working fluid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SABC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10ml SABC diluent.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7. </w:t>
      </w:r>
      <w:r>
        <w:rPr>
          <w:rFonts w:hint="default" w:ascii="Times New Roman" w:hAnsi="Times New Roman" w:cs="Times New Roman"/>
          <w:sz w:val="24"/>
          <w:szCs w:val="24"/>
        </w:rPr>
        <w:t>TMB Chromogenic Solution Configuration: Mix TMB Chromogenic Solution A and B 1:1 5 min before use, keep it away from light, and avoid bright light exposure during storage and color rendering.</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8. </w:t>
      </w:r>
      <w:r>
        <w:rPr>
          <w:rFonts w:hint="default" w:ascii="Times New Roman" w:hAnsi="Times New Roman" w:cs="Times New Roman"/>
          <w:sz w:val="24"/>
          <w:szCs w:val="24"/>
        </w:rPr>
        <w:t>Standard configuration: Take 7 1.5 ml centrifuge tubes, marked: S2, S3, S4, S5, S6, S7, blank, add universal dilution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each tube, remove the standard solution (S1) from the kit, aspirate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with a pipette, move to the second tube S2, mix well on the mixer and pipette out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the third tube S3, so repeatedly double dilute to S7, the standard dilution is blank control hole brown, The standard product has a total of 8 holes, namely: S1, S2, S3, S4, S5, S6, S7, blank, used on the same day, the rest abandoned. </w:t>
      </w:r>
    </w:p>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Cs w:val="22"/>
        </w:rPr>
        <w:drawing>
          <wp:inline distT="0" distB="0" distL="0" distR="0">
            <wp:extent cx="4342130" cy="1367790"/>
            <wp:effectExtent l="0" t="0" r="0" b="0"/>
            <wp:docPr id="1020"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7872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1" name="图片 2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图片 2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Inspection Process:</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1. </w:t>
      </w:r>
      <w:r>
        <w:rPr>
          <w:rFonts w:hint="default" w:ascii="Times New Roman" w:hAnsi="Times New Roman" w:cs="Times New Roman"/>
          <w:b/>
          <w:bCs/>
          <w:sz w:val="24"/>
          <w:szCs w:val="24"/>
        </w:rPr>
        <w:t>Sample</w:t>
      </w:r>
      <w:r>
        <w:rPr>
          <w:rFonts w:hint="default" w:ascii="Times New Roman" w:hAnsi="Times New Roman" w:cs="Times New Roman"/>
          <w:sz w:val="24"/>
          <w:szCs w:val="24"/>
        </w:rPr>
        <w:t xml:space="preserve">: Add 50 μl of Standard/Sample </w:t>
      </w:r>
      <w:r>
        <w:rPr>
          <w:rFonts w:hint="eastAsia" w:ascii="Times New Roman" w:hAnsi="Times New Roman" w:cs="Times New Roman"/>
          <w:sz w:val="24"/>
          <w:szCs w:val="24"/>
          <w:lang w:val="en-US" w:eastAsia="zh-CN"/>
        </w:rPr>
        <w:t>D</w:t>
      </w:r>
      <w:r>
        <w:rPr>
          <w:rFonts w:hint="default" w:ascii="Times New Roman" w:hAnsi="Times New Roman" w:cs="Times New Roman"/>
          <w:sz w:val="24"/>
          <w:szCs w:val="24"/>
        </w:rPr>
        <w:t>iluent to the blank wells, 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standard or sample to be measured in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2. </w:t>
      </w:r>
      <w:r>
        <w:rPr>
          <w:rFonts w:hint="default" w:ascii="Times New Roman" w:hAnsi="Times New Roman" w:cs="Times New Roman"/>
          <w:b/>
          <w:bCs/>
          <w:sz w:val="24"/>
          <w:szCs w:val="24"/>
        </w:rPr>
        <w:t>Wash</w:t>
      </w:r>
      <w:r>
        <w:rPr>
          <w:rFonts w:hint="default" w:ascii="Times New Roman" w:hAnsi="Times New Roman" w:cs="Times New Roman"/>
          <w:sz w:val="24"/>
          <w:szCs w:val="24"/>
        </w:rPr>
        <w:t>: Wash the microplate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plate well 3 times with 1× wash solution, add 1× 300μl of lotion per well, shake/soak for 1-2 minutes each time, and print dry onto the filter paper.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antibodies</w:t>
      </w:r>
      <w:r>
        <w:rPr>
          <w:rFonts w:hint="default" w:ascii="Times New Roman" w:hAnsi="Times New Roman" w:cs="Times New Roman"/>
          <w:sz w:val="24"/>
          <w:szCs w:val="24"/>
        </w:rPr>
        <w:t xml:space="preserve">: Add 100 </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w:t>
      </w:r>
      <w:r>
        <w:rPr>
          <w:rFonts w:hint="default" w:ascii="Times New Roman" w:hAnsi="Times New Roman" w:eastAsia="宋体" w:cs="Times New Roman"/>
          <w:color w:val="000000"/>
          <w:kern w:val="0"/>
          <w:sz w:val="24"/>
          <w:szCs w:val="24"/>
          <w:lang w:val="en-US" w:eastAsia="zh-CN" w:bidi="ar"/>
        </w:rPr>
        <w:t>Concentrated Biotin Antibody Diluent</w:t>
      </w:r>
      <w:r>
        <w:rPr>
          <w:rFonts w:hint="default" w:ascii="Times New Roman" w:hAnsi="Times New Roman" w:cs="Times New Roman"/>
          <w:sz w:val="24"/>
          <w:szCs w:val="24"/>
        </w:rPr>
        <w:t xml:space="preserve"> to the blank wells,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detection antibody working solution to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4. </w:t>
      </w:r>
      <w:r>
        <w:rPr>
          <w:rFonts w:hint="default" w:ascii="Times New Roman" w:hAnsi="Times New Roman" w:cs="Times New Roman"/>
          <w:b/>
          <w:bCs/>
          <w:sz w:val="24"/>
          <w:szCs w:val="24"/>
        </w:rPr>
        <w:t>Wash</w:t>
      </w:r>
      <w:r>
        <w:rPr>
          <w:rFonts w:hint="default" w:ascii="Times New Roman" w:hAnsi="Times New Roman" w:cs="Times New Roman"/>
          <w:sz w:val="24"/>
          <w:szCs w:val="24"/>
        </w:rPr>
        <w:t xml:space="preserve">: Ditto.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5.</w:t>
      </w:r>
      <w:r>
        <w:rPr>
          <w:rFonts w:hint="default"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SABC</w:t>
      </w:r>
      <w:r>
        <w:rPr>
          <w:rFonts w:hint="default" w:ascii="Times New Roman" w:hAnsi="Times New Roman" w:cs="Times New Roman"/>
          <w:sz w:val="24"/>
          <w:szCs w:val="24"/>
        </w:rPr>
        <w:t>: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diluent to the blank hole,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working solution to the other holes, seal the enzyme label plate with a sealing membrane, gently mix it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incubation for 30 minutes.</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6. </w:t>
      </w:r>
      <w:r>
        <w:rPr>
          <w:rFonts w:hint="default" w:ascii="Times New Roman" w:hAnsi="Times New Roman" w:cs="Times New Roman"/>
          <w:b/>
          <w:bCs/>
          <w:sz w:val="24"/>
          <w:szCs w:val="24"/>
        </w:rPr>
        <w:t>Wash</w:t>
      </w:r>
      <w:r>
        <w:rPr>
          <w:rFonts w:hint="default" w:ascii="Times New Roman" w:hAnsi="Times New Roman" w:cs="Times New Roman"/>
          <w:sz w:val="24"/>
          <w:szCs w:val="24"/>
        </w:rPr>
        <w:t>: Ditto.</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7. </w:t>
      </w:r>
      <w:r>
        <w:rPr>
          <w:rFonts w:hint="default" w:ascii="Times New Roman" w:hAnsi="Times New Roman" w:cs="Times New Roman"/>
          <w:b/>
          <w:bCs/>
          <w:sz w:val="24"/>
          <w:szCs w:val="24"/>
        </w:rPr>
        <w:t>Color</w:t>
      </w:r>
      <w:r>
        <w:rPr>
          <w:rFonts w:hint="default" w:ascii="Times New Roman" w:hAnsi="Times New Roman" w:cs="Times New Roman"/>
          <w:sz w:val="24"/>
          <w:szCs w:val="24"/>
          <w:lang w:eastAsia="zh-CN"/>
        </w:rPr>
        <w:t xml:space="preserve">: </w:t>
      </w:r>
      <w:r>
        <w:rPr>
          <w:rFonts w:hint="default" w:ascii="Times New Roman" w:hAnsi="Times New Roman" w:cs="Times New Roman"/>
          <w:sz w:val="24"/>
          <w:szCs w:val="24"/>
        </w:rPr>
        <w:t>Add the pre-configured TMB mixture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per well, seal the microplate plate with a sealing membrane, gently mix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react in the dark for 8-20 minutes, and the reaction result is blue.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8. </w:t>
      </w:r>
      <w:r>
        <w:rPr>
          <w:rFonts w:hint="default" w:ascii="Times New Roman" w:hAnsi="Times New Roman" w:cs="Times New Roman"/>
          <w:b/>
          <w:bCs/>
          <w:sz w:val="24"/>
          <w:szCs w:val="24"/>
        </w:rPr>
        <w:t>Termination reaction</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stop solution to each well, mix gently, </w:t>
      </w:r>
      <w:r>
        <w:rPr>
          <w:rFonts w:hint="eastAsia" w:ascii="Times New Roman" w:hAnsi="Times New Roman" w:cs="Times New Roman"/>
          <w:sz w:val="24"/>
          <w:szCs w:val="24"/>
          <w:lang w:val="en-US" w:eastAsia="zh-CN"/>
        </w:rPr>
        <w:t>now</w:t>
      </w:r>
      <w:r>
        <w:rPr>
          <w:rFonts w:hint="default" w:ascii="Times New Roman" w:hAnsi="Times New Roman" w:cs="Times New Roman"/>
          <w:sz w:val="24"/>
          <w:szCs w:val="24"/>
        </w:rPr>
        <w:t xml:space="preserve"> the blue turns to yellow, measure the OD value at 450nm with a microplate reader within 20</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min.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Prompt:</w:t>
      </w:r>
    </w:p>
    <w:p>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Dosing: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Use disposable tips during experimental procedures to avoid cross-contamination. When adding, be careful not to have air bubbles, add the sample to the bottom of the microplate plate, try not to touch the well wall, and gently shake the </w:t>
      </w:r>
      <w:r>
        <w:rPr>
          <w:rFonts w:hint="default" w:ascii="Times New Roman" w:hAnsi="Times New Roman" w:cs="Times New Roman"/>
        </w:rPr>
        <w:drawing>
          <wp:anchor distT="0" distB="0" distL="114300" distR="114300" simplePos="0" relativeHeight="25167974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2" name="图片 2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 name="图片 2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mixture. When adding or adding reagents, if the time interval between the first well and the last well is too large, it will lead to different "incubation" times, which will significantly affect the accuracy and reproducibility of the measured values. Therefore, the one-time dosing time (including standards and all samples) is best controlled within 10 minutes. </w:t>
      </w:r>
    </w:p>
    <w:p>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Incubation: In order to prevent sample evaporation, please seal the sealing membrane well during the experiment to avoid liquid evaporation, the next step should be carried out as soon as possible after washing the plate, and the microplate plate should be avoided in a dry state at any time, and the incubation time and temperature should be strictly observed. </w:t>
      </w:r>
    </w:p>
    <w:p>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Washing: Adequate washing is very important, in each washing process, the washing liquid should be completely dried, the residual washing liquid in the reaction well during the washing process should be dried on the filter paper, do not put the filter paper directly into the reaction well to absorb water, and at the same time eliminate the residual liquid and finger prints at the bottom of the plate to avoid affecting the final microplate reader reading.</w:t>
      </w:r>
    </w:p>
    <w:p>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Color development time control: The color rendering time in the instructions is for reference, due to the difference in user laboratory conditions, the best color development time will vary, after adding the substrate, please observe the color change of the reaction well regularly (for example, observe every 5 minutes), if the color is dark, please terminate the reaction in advance. The reaction can be terminated when the standard curve has a significant gradient and the S7 well is visible to the naked eye in a faint blue color, avoiding too strong a reaction that affects the microplate reader optical density reading. </w:t>
      </w:r>
    </w:p>
    <w:p>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This kit uses acid as a termination solution, which is corrosive and should be used without contact with clothing or exposed skin such as eyes and hands.</w:t>
      </w:r>
    </w:p>
    <w:p>
      <w:pPr>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8076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3" name="图片 2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图片 2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 xml:space="preserve">Result judgment and calculation: </w:t>
      </w:r>
    </w:p>
    <w:p>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The blank wells are set as control wells, and after subtracting the absorbance values of all the standards and samples from the blank wells, the resulting data can be directly plotted on the coordinate paper, such as when the absorbance value (OD) value of the blank well is lower than 0.1, it can also be directly calculated. </w:t>
      </w:r>
    </w:p>
    <w:p>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Take the standard concentration as the abscissa, the OD value as the ordinate, draw the standard curve by hand or with software, calculate the corresponding content according to the sample OD value, and then multiply it by the dilution multiple. </w:t>
      </w:r>
    </w:p>
    <w:p>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If the S1 detection OD value exceeds the detection range of the microplate reader, its value can be discarded for statistical analysis without affecting the experimental results.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Recovery: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Known proteins were added to serum and plasma samples, the assay was repeated and their means were calculated, and the recovery rate was the ratio of the measured value to the theoretical value, and the test was within the recovery range.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347"/>
        <w:gridCol w:w="3467"/>
      </w:tblGrid>
      <w:tr>
        <w:trPr>
          <w:trHeight w:val="437" w:hRule="atLeast"/>
          <w:jc w:val="center"/>
        </w:trPr>
        <w:tc>
          <w:tcPr>
            <w:tcW w:w="4347" w:type="dxa"/>
            <w:vAlign w:val="center"/>
          </w:tcPr>
          <w:p>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Sample</w:t>
            </w:r>
          </w:p>
        </w:tc>
        <w:tc>
          <w:tcPr>
            <w:tcW w:w="3467" w:type="dxa"/>
            <w:vAlign w:val="center"/>
          </w:tcPr>
          <w:p>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Recovery rate range(%)</w:t>
            </w:r>
          </w:p>
        </w:tc>
      </w:tr>
      <w:tr>
        <w:trPr>
          <w:trHeight w:val="437" w:hRule="atLeast"/>
          <w:jc w:val="center"/>
        </w:trPr>
        <w:tc>
          <w:tcPr>
            <w:tcW w:w="4347" w:type="dxa"/>
            <w:vAlign w:val="center"/>
          </w:tcPr>
          <w:p>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Serum</w:t>
            </w:r>
          </w:p>
        </w:tc>
        <w:tc>
          <w:tcPr>
            <w:tcW w:w="3467" w:type="dxa"/>
            <w:vAlign w:val="center"/>
          </w:tcPr>
          <w:p>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88-96</w:t>
            </w:r>
          </w:p>
        </w:tc>
      </w:tr>
      <w:tr>
        <w:trPr>
          <w:trHeight w:val="437" w:hRule="atLeast"/>
          <w:jc w:val="center"/>
        </w:trPr>
        <w:tc>
          <w:tcPr>
            <w:tcW w:w="4347" w:type="dxa"/>
            <w:vAlign w:val="center"/>
          </w:tcPr>
          <w:p>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EDTA anticoagulant plasma</w:t>
            </w:r>
          </w:p>
        </w:tc>
        <w:tc>
          <w:tcPr>
            <w:tcW w:w="3467" w:type="dxa"/>
            <w:vAlign w:val="center"/>
          </w:tcPr>
          <w:p>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87-96</w:t>
            </w:r>
          </w:p>
        </w:tc>
      </w:tr>
      <w:tr>
        <w:trPr>
          <w:trHeight w:val="437" w:hRule="atLeast"/>
          <w:jc w:val="center"/>
        </w:trPr>
        <w:tc>
          <w:tcPr>
            <w:tcW w:w="4347" w:type="dxa"/>
            <w:vAlign w:val="center"/>
          </w:tcPr>
          <w:p>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Heparin sodium anticoagulant plasma</w:t>
            </w:r>
          </w:p>
        </w:tc>
        <w:tc>
          <w:tcPr>
            <w:tcW w:w="3467" w:type="dxa"/>
            <w:vAlign w:val="center"/>
          </w:tcPr>
          <w:p>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83-95</w:t>
            </w:r>
          </w:p>
        </w:tc>
      </w:tr>
    </w:tbl>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Linear range:</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A certain amount of protein of interest is added to the serum and plasma samples, and the sample to be measured is double-diluted, and the linear range is the ratio of the measured value of the protein content of the target protein in the diluted sample to the theoretical value.</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Precision:</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Precision is expressed in the coefficient of variation CV of the sample measurement value. CV(%) = SD/mean×100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SD value is the standard deviation, which is the arithmetic square root of the arithmetic mean of the squared deviation from the mean difference, expressed in σ, and the standard deviation is also known as the standard deviation, or experimental standard deviation.</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Intra-batch difference: </w:t>
      </w:r>
      <w:r>
        <w:rPr>
          <w:rFonts w:hint="default" w:ascii="Times New Roman" w:hAnsi="Times New Roman" w:cs="Times New Roman"/>
          <w:sz w:val="24"/>
          <w:szCs w:val="24"/>
        </w:rPr>
        <w:t xml:space="preserve">Take the same batch of kits to quantitatively detect low, medium and high value fixed value samples, and each sample is continuously determined 20 times, </w:t>
      </w:r>
      <w:r>
        <w:rPr>
          <w:rFonts w:hint="default" w:ascii="Times New Roman" w:hAnsi="Times New Roman" w:cs="Times New Roman"/>
        </w:rPr>
        <w:drawing>
          <wp:anchor distT="0" distB="0" distL="114300" distR="114300" simplePos="0" relativeHeight="25168179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4" name="图片 2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 name="图片 2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and the average and SD values of samples of different concentrations are calculated respectively.Intra-batch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9%。</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Batch-to-batch difference:</w:t>
      </w:r>
      <w:r>
        <w:rPr>
          <w:rFonts w:hint="default" w:ascii="Times New Roman" w:hAnsi="Times New Roman" w:cs="Times New Roman"/>
          <w:sz w:val="24"/>
          <w:szCs w:val="24"/>
        </w:rPr>
        <w:t xml:space="preserve"> 3 different batches of kits were selected for quantitative determination of low, medium and high value fixed value samples, and each sample was </w:t>
      </w:r>
      <w:r>
        <w:rPr>
          <w:rFonts w:hint="default" w:ascii="Times New Roman" w:hAnsi="Times New Roman" w:cs="Times New Roman"/>
        </w:rPr>
        <w:drawing>
          <wp:anchor distT="0" distB="0" distL="114300" distR="114300" simplePos="0" relativeHeight="25168691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5" name="图片 3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 name="图片 3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repeated 8 times using the same kit, and the average and SD values of samples of different concentrations were calculated, respectively.Batch-to-batch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10%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Stability: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The kit was measured to be stored at the recommended temperature during the validity period and had a decrease in activity of less than 5%. In order to reduce the influence of external factors on the detection value before and after the destruction of the kit, the environmental conditions of the laboratory should be as consistent as possible, especially the temperature and incubation conditions in the laboratory, and then the same experimenter can reduce human error.</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Problem analysis:</w:t>
      </w:r>
    </w:p>
    <w:p>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If the experimental results are not ideal, please take photos of the color rendering results in time, save the experimental data, retain the slats used and unused reagents, fill in the after-sales service form(download and fill in online), and then contact our technical support to solve the problem for you, and you can also refer to the following information:</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Standard deviation:</w:t>
      </w:r>
    </w:p>
    <w:tbl>
      <w:tblPr>
        <w:tblStyle w:val="8"/>
        <w:tblW w:w="9140" w:type="dxa"/>
        <w:tblInd w:w="0" w:type="dxa"/>
        <w:tblLayout w:type="fixed"/>
        <w:tblCellMar>
          <w:top w:w="0" w:type="dxa"/>
          <w:left w:w="0" w:type="dxa"/>
          <w:bottom w:w="0" w:type="dxa"/>
          <w:right w:w="0" w:type="dxa"/>
        </w:tblCellMar>
      </w:tblPr>
      <w:tblGrid>
        <w:gridCol w:w="3160"/>
        <w:gridCol w:w="5980"/>
      </w:tblGrid>
      <w:tr>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598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solution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 misconfigured</w:t>
            </w:r>
          </w:p>
        </w:tc>
        <w:tc>
          <w:tcPr>
            <w:tcW w:w="598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Dosing or dosing is not permitted, check the pipette and tip to confirm that the correct dilution is being made.</w:t>
            </w:r>
          </w:p>
        </w:tc>
      </w:tr>
      <w:tr>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Improper re-dissolution of the standard</w:t>
            </w:r>
          </w:p>
        </w:tc>
        <w:tc>
          <w:tcPr>
            <w:tcW w:w="598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Centrifuge before opening the cap to check for insoluble matter after resolution.</w:t>
            </w:r>
          </w:p>
        </w:tc>
      </w:tr>
      <w:tr>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has degraded</w:t>
            </w:r>
          </w:p>
        </w:tc>
        <w:tc>
          <w:tcPr>
            <w:tcW w:w="598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Preserve and dispose of standards in the recommended manner.</w:t>
            </w:r>
          </w:p>
        </w:tc>
      </w:tr>
      <w:tr>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Incomplete washing</w:t>
            </w:r>
          </w:p>
        </w:tc>
        <w:tc>
          <w:tcPr>
            <w:tcW w:w="598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washing time and number of washes and dosing per well.</w:t>
            </w:r>
          </w:p>
        </w:tc>
      </w:tr>
      <w:tr>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scale of the curve is not suitable</w:t>
            </w:r>
          </w:p>
        </w:tc>
        <w:tc>
          <w:tcPr>
            <w:tcW w:w="598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drawing curves with different scales.</w:t>
            </w:r>
          </w:p>
        </w:tc>
      </w:tr>
      <w:tr>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Pipette dosing error</w:t>
            </w:r>
          </w:p>
        </w:tc>
        <w:tc>
          <w:tcPr>
            <w:tcW w:w="598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Use calibrated pipetting correctly.</w:t>
            </w:r>
          </w:p>
        </w:tc>
      </w:tr>
    </w:tbl>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No signal</w:t>
      </w:r>
      <w:r>
        <w:rPr>
          <w:rFonts w:hint="eastAsia" w:ascii="Times New Roman" w:hAnsi="Times New Roman" w:cs="Times New Roman"/>
          <w:b/>
          <w:bCs/>
          <w:sz w:val="24"/>
          <w:szCs w:val="24"/>
          <w:lang w:val="en-US" w:eastAsia="zh-CN"/>
        </w:rPr>
        <w:t>:</w:t>
      </w:r>
      <w:r>
        <w:rPr>
          <w:rFonts w:hint="default" w:ascii="Times New Roman" w:hAnsi="Times New Roman" w:cs="Times New Roman"/>
        </w:rPr>
        <w:drawing>
          <wp:anchor distT="0" distB="0" distL="114300" distR="114300" simplePos="0" relativeHeight="25168793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6" name="图片 3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 name="图片 3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trPr>
          <w:trHeight w:val="327"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trPr>
          <w:trHeight w:val="46"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target content is below the detection range</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Reduce the dilution multiple of the sample or concentrate the sample.</w:t>
            </w:r>
          </w:p>
        </w:tc>
      </w:tr>
      <w:tr>
        <w:trPr>
          <w:trHeight w:val="4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Sample type is not applicable</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For sample types that have not been validated, the detection signal may be weakened or the validated sample type may not be used as a positive control for simultaneous testing.</w:t>
            </w:r>
          </w:p>
        </w:tc>
      </w:tr>
      <w:tr>
        <w:trPr>
          <w:trHeight w:val="46"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Detect the compatibility of the buffer</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Ensure that the detection buffer is compatible with the target</w:t>
            </w:r>
            <w:r>
              <w:rPr>
                <w:rFonts w:hint="eastAsia" w:ascii="Times New Roman" w:hAnsi="Times New Roman" w:cs="Times New Roman"/>
                <w:sz w:val="24"/>
                <w:szCs w:val="24"/>
                <w:lang w:val="en-US" w:eastAsia="zh-CN"/>
              </w:rPr>
              <w:t>.</w:t>
            </w:r>
          </w:p>
        </w:tc>
      </w:tr>
      <w:tr>
        <w:trPr>
          <w:trHeight w:val="45"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Incorrect sample preparation</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to perform the correct sample preparation/dilution. Samples may not be compatible with the microtiter plate assay form.</w:t>
            </w:r>
          </w:p>
        </w:tc>
      </w:tr>
      <w:tr>
        <w:trPr>
          <w:trHeight w:val="46"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antibodies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different antibody concentrations/dilutions.</w:t>
            </w:r>
          </w:p>
        </w:tc>
      </w:tr>
      <w:tr>
        <w:trPr>
          <w:trHeight w:val="4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incubation temperature is too low</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the reagent should be stored at room temperature or at the temperature recommended by the experimental protocol.</w:t>
            </w:r>
          </w:p>
        </w:tc>
      </w:tr>
      <w:tr>
        <w:trPr>
          <w:trHeight w:val="45"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wavelength is incorrect</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Confirm the wavelength and read the plate again.</w:t>
            </w:r>
          </w:p>
        </w:tc>
      </w:tr>
      <w:tr>
        <w:trPr>
          <w:trHeight w:val="46"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well plates are washed vigorously</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Check and make sure the automatic washing system is at the correct pressure. If washing manually, gently aspirate the rinse buffer.</w:t>
            </w:r>
          </w:p>
        </w:tc>
      </w:tr>
      <w:tr>
        <w:trPr>
          <w:trHeight w:val="46"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holes dry out</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 not allow the holes to dry out after the assay has begun. All incubation steps are sealed with parafilm or tape to seal the well plate.</w:t>
            </w:r>
          </w:p>
        </w:tc>
      </w:tr>
      <w:tr>
        <w:trPr>
          <w:trHeight w:val="4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color development speed of the enzyme reaction is slow</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the substrate solution before use. Make sure that the mother liquor has not expired or been contaminated. Extend the incubation time.</w:t>
            </w:r>
          </w:p>
        </w:tc>
      </w:tr>
      <w:tr>
        <w:trPr>
          <w:trHeight w:val="4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kit is not sufficiently balanced</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balanced at room temperature for at least 20 minutes, ensuring that all reagents are balanced to room temperature.</w:t>
            </w:r>
          </w:p>
        </w:tc>
      </w:tr>
    </w:tbl>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The coefficient of variation is large</w:t>
      </w:r>
      <w:r>
        <w:rPr>
          <w:rFonts w:hint="eastAsia"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trPr>
          <w:trHeight w:val="308"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trPr>
          <w:trHeight w:val="305"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There are bubbles in the wells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reading the plate, make sure there are no air bubbles.</w:t>
            </w:r>
          </w:p>
        </w:tc>
      </w:tr>
      <w:tr>
        <w:trPr>
          <w:trHeight w:val="305"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Uneven/inadequate well wash</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Check that all nozzles of the plate washer are unobstructed. </w:t>
            </w:r>
          </w:p>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using the recommended method.</w:t>
            </w:r>
          </w:p>
        </w:tc>
      </w:tr>
      <w:tr>
        <w:trPr>
          <w:trHeight w:val="307"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not mixed well</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all reagents are mixed well.</w:t>
            </w:r>
          </w:p>
        </w:tc>
      </w:tr>
      <w:tr>
        <w:trPr>
          <w:trHeight w:val="306"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Edge effects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the well plate and all reagents are at room temperature.</w:t>
            </w:r>
          </w:p>
        </w:tc>
      </w:tr>
      <w:tr>
        <w:trPr>
          <w:trHeight w:val="30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Inconsistent sample preparation or storage conditions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consistent sample preparation and use optimal sample preservation conditions (e.g., minimize repeated freeze-thaw).</w:t>
            </w:r>
          </w:p>
        </w:tc>
      </w:tr>
    </w:tbl>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High background:</w:t>
      </w:r>
      <w:r>
        <w:rPr>
          <w:rFonts w:hint="default" w:ascii="Times New Roman" w:hAnsi="Times New Roman" w:cs="Times New Roman"/>
        </w:rPr>
        <w:drawing>
          <wp:anchor distT="0" distB="0" distL="114300" distR="114300" simplePos="0" relativeHeight="25168281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7" name="图片 3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 name="图片 3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trPr>
          <w:trHeight w:val="308"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trPr>
          <w:trHeight w:val="305"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well washing</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as recommended by the protocol.</w:t>
            </w:r>
          </w:p>
        </w:tc>
      </w:tr>
      <w:tr>
        <w:trPr>
          <w:trHeight w:val="30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buffer contamination</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fresh wash buffer.</w:t>
            </w:r>
          </w:p>
        </w:tc>
      </w:tr>
      <w:tr>
        <w:trPr>
          <w:trHeight w:val="306"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Too many detection reagents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that the reagent is properly diluted or reduce the recommended concentration of the reagent for detection.</w:t>
            </w:r>
          </w:p>
        </w:tc>
      </w:tr>
      <w:tr>
        <w:trPr>
          <w:trHeight w:val="306" w:hRule="atLeast"/>
        </w:trPr>
        <w:tc>
          <w:tcPr>
            <w:tcW w:w="323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Blocking buffer is ineffective</w:t>
            </w:r>
          </w:p>
        </w:tc>
        <w:tc>
          <w:tcPr>
            <w:tcW w:w="6406"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blocking agents and/or adding blocking agents to the wash buffer.</w:t>
            </w:r>
          </w:p>
        </w:tc>
      </w:tr>
      <w:tr>
        <w:trPr>
          <w:trHeight w:val="306" w:hRule="atLeast"/>
        </w:trPr>
        <w:tc>
          <w:tcPr>
            <w:tcW w:w="323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Salt concentration of incubation/wash buffer</w:t>
            </w:r>
          </w:p>
        </w:tc>
        <w:tc>
          <w:tcPr>
            <w:tcW w:w="6406"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Increasing salt concentrations may reduce nonspecificity and/or weaken off-target interactions.</w:t>
            </w:r>
          </w:p>
        </w:tc>
      </w:tr>
      <w:tr>
        <w:trPr>
          <w:trHeight w:val="306" w:hRule="atLeast"/>
        </w:trPr>
        <w:tc>
          <w:tcPr>
            <w:tcW w:w="323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time after adding the stop solution before reading the plate is too long</w:t>
            </w:r>
          </w:p>
        </w:tc>
        <w:tc>
          <w:tcPr>
            <w:tcW w:w="6406"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Read the plate immediately after adding the stop solution.</w:t>
            </w:r>
          </w:p>
        </w:tc>
      </w:tr>
      <w:tr>
        <w:trPr>
          <w:trHeight w:val="306" w:hRule="atLeast"/>
        </w:trPr>
        <w:tc>
          <w:tcPr>
            <w:tcW w:w="323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High antibody concentration</w:t>
            </w:r>
          </w:p>
        </w:tc>
        <w:tc>
          <w:tcPr>
            <w:tcW w:w="6406"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dilutions to get the best results.</w:t>
            </w:r>
          </w:p>
        </w:tc>
      </w:tr>
      <w:tr>
        <w:trPr>
          <w:trHeight w:val="306" w:hRule="atLeast"/>
        </w:trPr>
        <w:tc>
          <w:tcPr>
            <w:tcW w:w="323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is performed under light</w:t>
            </w:r>
          </w:p>
        </w:tc>
        <w:tc>
          <w:tcPr>
            <w:tcW w:w="6406"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should be carried out protected from light</w:t>
            </w:r>
            <w:r>
              <w:rPr>
                <w:rFonts w:hint="eastAsia" w:ascii="Times New Roman" w:hAnsi="Times New Roman" w:cs="Times New Roman"/>
                <w:sz w:val="24"/>
                <w:szCs w:val="24"/>
                <w:lang w:val="en-US" w:eastAsia="zh-CN"/>
              </w:rPr>
              <w:t>.</w:t>
            </w:r>
          </w:p>
        </w:tc>
      </w:tr>
      <w:tr>
        <w:trPr>
          <w:trHeight w:val="306" w:hRule="atLeast"/>
        </w:trPr>
        <w:tc>
          <w:tcPr>
            <w:tcW w:w="323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Sediment is generated in the wells after the substrate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added</w:t>
            </w:r>
          </w:p>
        </w:tc>
        <w:tc>
          <w:tcPr>
            <w:tcW w:w="6406"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Increase the dilution multiple of the sample or reduce the substrate concentration.</w:t>
            </w:r>
          </w:p>
        </w:tc>
      </w:tr>
      <w:tr>
        <w:trPr>
          <w:trHeight w:val="306" w:hRule="atLeast"/>
        </w:trPr>
        <w:tc>
          <w:tcPr>
            <w:tcW w:w="323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well plate is dirty</w:t>
            </w:r>
          </w:p>
        </w:tc>
        <w:tc>
          <w:tcPr>
            <w:tcW w:w="6406"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Clean the bottom of the well plate.</w:t>
            </w:r>
          </w:p>
        </w:tc>
      </w:tr>
      <w:tr>
        <w:trPr>
          <w:trHeight w:val="306" w:hRule="atLeast"/>
        </w:trPr>
        <w:tc>
          <w:tcPr>
            <w:tcW w:w="323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chromogenic solution deteriorates or the reagent expires</w:t>
            </w:r>
          </w:p>
        </w:tc>
        <w:tc>
          <w:tcPr>
            <w:tcW w:w="6406"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Check the validity period of the kit and use it within the validity period</w:t>
            </w:r>
            <w:r>
              <w:rPr>
                <w:rFonts w:hint="eastAsia" w:ascii="Times New Roman" w:hAnsi="Times New Roman" w:cs="Times New Roman"/>
                <w:lang w:val="en-US" w:eastAsia="zh-CN"/>
              </w:rPr>
              <w:t>.</w:t>
            </w:r>
          </w:p>
        </w:tc>
      </w:tr>
      <w:tr>
        <w:trPr>
          <w:trHeight w:val="306" w:hRule="atLeast"/>
        </w:trPr>
        <w:tc>
          <w:tcPr>
            <w:tcW w:w="323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Changes in incubation time and temperature</w:t>
            </w:r>
          </w:p>
        </w:tc>
        <w:tc>
          <w:tcPr>
            <w:tcW w:w="6406"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Follow the recommended time and temperature on the instructions</w:t>
            </w:r>
            <w:r>
              <w:rPr>
                <w:rFonts w:hint="eastAsia" w:ascii="Times New Roman" w:hAnsi="Times New Roman" w:cs="Times New Roman"/>
                <w:lang w:val="en-US" w:eastAsia="zh-CN"/>
              </w:rPr>
              <w:t>.</w:t>
            </w:r>
          </w:p>
        </w:tc>
      </w:tr>
      <w:tr>
        <w:trPr>
          <w:trHeight w:val="306" w:hRule="atLeast"/>
        </w:trPr>
        <w:tc>
          <w:tcPr>
            <w:tcW w:w="323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sealing film is reused</w:t>
            </w:r>
          </w:p>
        </w:tc>
        <w:tc>
          <w:tcPr>
            <w:tcW w:w="6406"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Replace the used sealing film in time</w:t>
            </w:r>
            <w:r>
              <w:rPr>
                <w:rFonts w:hint="eastAsia" w:ascii="Times New Roman" w:hAnsi="Times New Roman" w:cs="Times New Roman"/>
                <w:lang w:val="en-US" w:eastAsia="zh-CN"/>
              </w:rPr>
              <w:t>.</w:t>
            </w:r>
          </w:p>
        </w:tc>
      </w:tr>
    </w:tbl>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rPr>
      </w:pP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lang w:val="en-US" w:eastAsia="zh-CN"/>
        </w:rPr>
      </w:pPr>
      <w:r>
        <w:rPr>
          <w:rFonts w:hint="default" w:ascii="Times New Roman" w:hAnsi="Times New Roman" w:cs="Times New Roman"/>
          <w:b/>
          <w:bCs/>
        </w:rPr>
        <w:t>Sensitivity is low</w:t>
      </w:r>
      <w:r>
        <w:rPr>
          <w:rFonts w:hint="eastAsia" w:ascii="Times New Roman" w:hAnsi="Times New Roman" w:cs="Times New Roman"/>
          <w:b/>
          <w:bCs/>
          <w:lang w:val="en-US" w:eastAsia="zh-CN"/>
        </w:rPr>
        <w:t>:</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trPr>
          <w:trHeight w:val="328"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Possible causes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Countermeasures accordingly</w:t>
            </w:r>
          </w:p>
        </w:tc>
      </w:tr>
      <w:tr>
        <w:trPr>
          <w:trHeight w:val="305"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ELISA kits are not properly stored</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Save all reagents as recommended.</w:t>
            </w:r>
          </w:p>
        </w:tc>
      </w:tr>
      <w:tr>
        <w:trPr>
          <w:trHeight w:val="307"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Insufficient targets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Concentrate the sample or reduce the sample dilution.</w:t>
            </w:r>
          </w:p>
        </w:tc>
      </w:tr>
      <w:tr>
        <w:trPr>
          <w:trHeight w:val="307"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Detection reagent inactivation</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Make sure the reporting enzyme/fluorescein has the expected activity.</w:t>
            </w:r>
          </w:p>
        </w:tc>
      </w:tr>
      <w:tr>
        <w:trPr>
          <w:trHeight w:val="306"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microplate reader settings are incorrect</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During the assay, ensure that the microplate reader is set to the correct absorption wavelength or excitation/emission wavelength.</w:t>
            </w:r>
          </w:p>
        </w:tc>
      </w:tr>
      <w:tr>
        <w:trPr>
          <w:trHeight w:val="307"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Microtiter plates are not effective in adsorbing targets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Covalently bind the target to a microtiter plate.</w:t>
            </w:r>
          </w:p>
        </w:tc>
      </w:tr>
      <w:tr>
        <w:trPr>
          <w:trHeight w:val="305"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Incompatible sample types (e.g., serum versus cell extracts)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For sample species that have not been validated, the detection signal may be weakened or absent. Simultaneous testing using a validated sample type as a positive control.</w:t>
            </w:r>
          </w:p>
        </w:tc>
      </w:tr>
      <w:tr>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Buffer or sample composition interference</w:t>
            </w:r>
          </w:p>
        </w:tc>
        <w:tc>
          <w:tcPr>
            <w:tcW w:w="6406"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Confirm the presence of interfering compounds in the reagent, for example, sodium azide in an antibody inhibits the HRPase.</w:t>
            </w:r>
          </w:p>
        </w:tc>
      </w:tr>
      <w:tr>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Mix reagents from different kits</w:t>
            </w:r>
          </w:p>
        </w:tc>
        <w:tc>
          <w:tcPr>
            <w:tcW w:w="6406"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Avoid mixing reagents from different kits.</w:t>
            </w:r>
          </w:p>
        </w:tc>
      </w:tr>
      <w:tr>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kit is not sufficiently balanced</w:t>
            </w:r>
          </w:p>
        </w:tc>
        <w:tc>
          <w:tcPr>
            <w:tcW w:w="6406"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Reagents are balanced at room temperature for at least 20 minutes, ensuring that all reagents are balanced to room temperature.</w:t>
            </w:r>
          </w:p>
        </w:tc>
      </w:tr>
    </w:tbl>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Statement: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 </w:t>
      </w:r>
      <w:r>
        <w:rPr>
          <w:rFonts w:hint="default" w:ascii="Times New Roman" w:hAnsi="Times New Roman" w:cs="Times New Roman"/>
        </w:rPr>
        <w:t xml:space="preserve">The company is only responsible for the kit itself, and is not responsible for the sample consumption caused by the use of the kit, and the user fully considers the possible amount of the sample before use, and reserves sufficient samples. The final experimental results are closely related to the effectiveness of the reagents, the relevant operations of the experimenter, and the experimental environment.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2. </w:t>
      </w:r>
      <w:r>
        <w:rPr>
          <w:rFonts w:hint="default" w:ascii="Times New Roman" w:hAnsi="Times New Roman" w:cs="Times New Roman"/>
        </w:rPr>
        <w:t xml:space="preserve">Due to the existing conditions and scientific and technological level can not be the supplier to provide all the raw materials for comprehensive identification and analysis, this </w:t>
      </w:r>
      <w:r>
        <w:rPr>
          <w:rFonts w:hint="default" w:ascii="Times New Roman" w:hAnsi="Times New Roman" w:cs="Times New Roman"/>
        </w:rPr>
        <w:drawing>
          <wp:anchor distT="0" distB="0" distL="114300" distR="114300" simplePos="0" relativeHeight="25168384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8" name="图片 3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 name="图片 3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product may have a certain quality and technical risks, such as experimental failure, the user himself bears the risk, the company does not bear any experimental failure losses other than the kit.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3. </w:t>
      </w:r>
      <w:r>
        <w:rPr>
          <w:rFonts w:hint="default" w:ascii="Times New Roman" w:hAnsi="Times New Roman" w:cs="Times New Roman"/>
        </w:rPr>
        <w:t xml:space="preserve">If the sample examined is not included in the sample listed in the specification, it is recommended to perform a pre-experiment to verify its validity and pay attention to the retention of the sample.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4. </w:t>
      </w:r>
      <w:r>
        <w:rPr>
          <w:rFonts w:hint="default" w:ascii="Times New Roman" w:hAnsi="Times New Roman" w:cs="Times New Roman"/>
        </w:rPr>
        <w:t xml:space="preserve">Tissue homogenates or cell extracts prepared using chemical lysates may bias ELISA experimental results due to the introduction of certain chemicals.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5. </w:t>
      </w:r>
      <w:r>
        <w:rPr>
          <w:rFonts w:hint="default" w:ascii="Times New Roman" w:hAnsi="Times New Roman" w:cs="Times New Roman"/>
        </w:rPr>
        <w:t xml:space="preserve">Cell culture supernatant samples, because of the many interfering factors of this type of sample, including cell status, cell viability, cell number, and sampling time, there may be undetectable conditions.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6. </w:t>
      </w:r>
      <w:r>
        <w:rPr>
          <w:rFonts w:hint="default" w:ascii="Times New Roman" w:hAnsi="Times New Roman" w:cs="Times New Roman"/>
        </w:rPr>
        <w:t xml:space="preserve">Some natural or recombinant proteins, including prokaryotic and eukaryotic recombinant proteins, may not be detected because they do not match the detection and capture antibodies used in this product.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7. </w:t>
      </w:r>
      <w:r>
        <w:rPr>
          <w:rFonts w:hint="default" w:ascii="Times New Roman" w:hAnsi="Times New Roman" w:cs="Times New Roman"/>
        </w:rPr>
        <w:t>Different batches of the same product may have a little difference, such as: detection limits, sensitivity and color development time, etc., please refer to the instructions in the kit, the website electronic version of the manual for reference only.</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8. </w:t>
      </w:r>
      <w:r>
        <w:rPr>
          <w:rFonts w:hint="default" w:ascii="Times New Roman" w:hAnsi="Times New Roman" w:cs="Times New Roman"/>
        </w:rPr>
        <w:t>Only by using all the reagents in the kit can the detection effect be guaranteed, and the products of other manufacturers cannot be mixed, and the best test results will be obtained only by strictly abiding by the experimental instructions of this kit.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9. </w:t>
      </w:r>
      <w:r>
        <w:rPr>
          <w:rFonts w:hint="default" w:ascii="Times New Roman" w:hAnsi="Times New Roman" w:cs="Times New Roman"/>
        </w:rPr>
        <w:t>Avoid exposing reagents to bright light during storage and transportation, and all reagent bottle caps must be tightly closed to prevent evaporation and microbial contamination, resulting in reagent failure or contamination with inaccurate results.</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10. </w:t>
      </w:r>
      <w:r>
        <w:rPr>
          <w:rFonts w:hint="default" w:ascii="Times New Roman" w:hAnsi="Times New Roman" w:cs="Times New Roman"/>
        </w:rPr>
        <w:t>There may be a little water-like substance in the wells of the newly opened microplate plate, which is normal and will not have any impact on the results of the experiment, and the microplate plate should be removed from the bag when it is used, please do not remove it in advance.</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11. </w:t>
      </w:r>
      <w:r>
        <w:rPr>
          <w:rFonts w:hint="default" w:ascii="Times New Roman" w:hAnsi="Times New Roman" w:cs="Times New Roman"/>
        </w:rPr>
        <w:drawing>
          <wp:anchor distT="0" distB="0" distL="114300" distR="114300" simplePos="0" relativeHeight="2516848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9" name="图片 3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 name="图片 3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Changes in sample preparation and during each procedure can lead to different experimental results, so in order to improve the reproducibility of experimental results, each step of the experiment needs to be strictly controlled.</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12. </w:t>
      </w:r>
      <w:r>
        <w:rPr>
          <w:rFonts w:hint="default" w:ascii="Times New Roman" w:hAnsi="Times New Roman" w:cs="Times New Roman"/>
        </w:rPr>
        <w:t>Kits undergo strict quality inspection before leaving the factory, but due to the differences in transportation conditions and laboratory conditions, it may cause inconsistencies between the experimental results and the factory results or the increase in the difference between batches of kits.</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13. </w:t>
      </w:r>
      <w:r>
        <w:rPr>
          <w:rFonts w:hint="default" w:ascii="Times New Roman" w:hAnsi="Times New Roman" w:cs="Times New Roman"/>
        </w:rPr>
        <w:t xml:space="preserve">This kit is not compared with other manufacturers' similar kits or products with different methods to detect the same protein of interest, so inconsistencies in the test results are not excluded.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14. </w:t>
      </w:r>
      <w:r>
        <w:rPr>
          <w:rFonts w:hint="default" w:ascii="Times New Roman" w:hAnsi="Times New Roman" w:cs="Times New Roman"/>
        </w:rPr>
        <w:t>The immunogen used to prepare the antibody in the kit is usually a recombinant protein, but because the fragments selected for the preparation of the recombinant protein, the expression system, the purification method, etc. are different, we cannot guarantee that the kit can be used for the detection of recombinant proteins of other companies.</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15. </w:t>
      </w:r>
      <w:r>
        <w:rPr>
          <w:rFonts w:hint="default" w:ascii="Times New Roman" w:hAnsi="Times New Roman" w:cs="Times New Roman"/>
        </w:rPr>
        <w:t>The kit may not be suitable for the detection of special experimental samples whose effectiveness of the experiment itself is uncertain, such as samples such as gene knockout experiments.</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16. </w:t>
      </w:r>
      <w:r>
        <w:rPr>
          <w:rFonts w:hint="default" w:ascii="Times New Roman" w:hAnsi="Times New Roman" w:cs="Times New Roman"/>
        </w:rPr>
        <w:t xml:space="preserve">The kit is for research purposes only and if used for clinical diagnostics or any other purpose, we will not be responsible for or liable for any problems arising therefrom. </w:t>
      </w:r>
    </w:p>
    <w:sectPr>
      <w:headerReference r:id="rId5" w:type="first"/>
      <w:headerReference r:id="rId3" w:type="default"/>
      <w:footerReference r:id="rId6" w:type="default"/>
      <w:headerReference r:id="rId4" w:type="even"/>
      <w:pgSz w:w="11906" w:h="16838"/>
      <w:pgMar w:top="1440" w:right="1800" w:bottom="1440" w:left="1134" w:header="851" w:footer="57"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汉仪书宋二KW"/>
    <w:panose1 w:val="00000000000000000000"/>
    <w:charset w:val="86"/>
    <w:family w:val="auto"/>
    <w:pitch w:val="default"/>
    <w:sig w:usb0="00000000" w:usb1="00000000" w:usb2="00000000" w:usb3="00000000" w:csb0="00000000" w:csb1="00000000"/>
  </w:font>
  <w:font w:name="Wingdings">
    <w:panose1 w:val="05000000000000000000"/>
    <w:charset w:val="02"/>
    <w:family w:val="auto"/>
    <w:pitch w:val="default"/>
    <w:sig w:usb0="00000000" w:usb1="00000000" w:usb2="00000000" w:usb3="00000000" w:csb0="80000000" w:csb1="00000000"/>
  </w:font>
  <w:font w:name="Arial">
    <w:panose1 w:val="020B0604020202090204"/>
    <w:charset w:val="01"/>
    <w:family w:val="swiss"/>
    <w:pitch w:val="default"/>
    <w:sig w:usb0="E0000AFF" w:usb1="00007843" w:usb2="00000001" w:usb3="00000000" w:csb0="400001BF" w:csb1="DFF70000"/>
  </w:font>
  <w:font w:name="黑体">
    <w:altName w:val="汉仪中黑KW"/>
    <w:panose1 w:val="02010609060101010101"/>
    <w:charset w:val="86"/>
    <w:family w:val="auto"/>
    <w:pitch w:val="default"/>
    <w:sig w:usb0="800002BF" w:usb1="38CF7CFA" w:usb2="00000016" w:usb3="00000000" w:csb0="00040001" w:csb1="00000000"/>
  </w:font>
  <w:font w:name="Courier New">
    <w:panose1 w:val="02070409020205090404"/>
    <w:charset w:val="01"/>
    <w:family w:val="modern"/>
    <w:pitch w:val="default"/>
    <w:sig w:usb0="E0000AFF" w:usb1="40007843" w:usb2="00000001" w:usb3="00000000" w:csb0="400001BF" w:csb1="DFF70000"/>
  </w:font>
  <w:font w:name="Symbol">
    <w:altName w:val="Kingsoft Sign"/>
    <w:panose1 w:val="05050102010706020507"/>
    <w:charset w:val="02"/>
    <w:family w:val="roman"/>
    <w:pitch w:val="default"/>
    <w:sig w:usb0="00000000" w:usb1="00000000" w:usb2="00000000" w:usb3="00000000" w:csb0="80000000" w:csb1="00000000"/>
  </w:font>
  <w:font w:name="Calibri">
    <w:altName w:val="Helvetica Neue"/>
    <w:panose1 w:val="020F0502020204030204"/>
    <w:charset w:val="00"/>
    <w:family w:val="swiss"/>
    <w:pitch w:val="default"/>
    <w:sig w:usb0="00000000" w:usb1="00000000" w:usb2="00000001" w:usb3="00000000" w:csb0="0000019F" w:csb1="00000000"/>
  </w:font>
  <w:font w:name="汉仪书宋二KW">
    <w:panose1 w:val="00020600040101010101"/>
    <w:charset w:val="86"/>
    <w:family w:val="auto"/>
    <w:pitch w:val="default"/>
    <w:sig w:usb0="A00002BF" w:usb1="18EF7CFA" w:usb2="00000016" w:usb3="00000000" w:csb0="00040000" w:csb1="00000000"/>
  </w:font>
  <w:font w:name="宋体-简">
    <w:panose1 w:val="02010800040101010101"/>
    <w:charset w:val="86"/>
    <w:family w:val="auto"/>
    <w:pitch w:val="default"/>
    <w:sig w:usb0="00000001" w:usb1="080F0000" w:usb2="00000000" w:usb3="00000000" w:csb0="00040000" w:csb1="00000000"/>
  </w:font>
  <w:font w:name="汉仪中黑KW">
    <w:panose1 w:val="00020600040101010101"/>
    <w:charset w:val="86"/>
    <w:family w:val="auto"/>
    <w:pitch w:val="default"/>
    <w:sig w:usb0="A00002BF" w:usb1="18EF7CFA" w:usb2="00000016" w:usb3="00000000" w:csb0="00040000" w:csb1="00000000"/>
  </w:font>
  <w:font w:name="Kingsoft Sign">
    <w:panose1 w:val="05050102010706020507"/>
    <w:charset w:val="00"/>
    <w:family w:val="auto"/>
    <w:pitch w:val="default"/>
    <w:sig w:usb0="00000000" w:usb1="10000000" w:usb2="00000000" w:usb3="00000000" w:csb0="00000001" w:csb1="00000000"/>
  </w:font>
  <w:font w:name="Helvetica Neue">
    <w:panose1 w:val="02000503000000020004"/>
    <w:charset w:val="00"/>
    <w:family w:val="auto"/>
    <w:pitch w:val="default"/>
    <w:sig w:usb0="E50002FF" w:usb1="500079DB" w:usb2="00000010" w:usb3="00000000" w:csb0="0000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
      <w:tabs>
        <w:tab w:val="right" w:pos="9072"/>
        <w:tab w:val="clear" w:pos="8306"/>
      </w:tabs>
      <w:ind w:right="-766" w:rightChars="-319"/>
      <w:rPr>
        <w:rFonts w:hint="default" w:ascii="Times New Roman" w:hAnsi="Times New Roman" w:cs="Times New Roman"/>
        <w:sz w:val="21"/>
        <w:szCs w:val="21"/>
      </w:rPr>
    </w:pPr>
    <w:r>
      <w:rPr>
        <w:sz w:val="21"/>
      </w:rP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3360;mso-width-relative:page;mso-height-relative:page;" filled="f" stroked="f" coordsize="21600,21600" o:gfxdata="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">
              <v:fill on="f" focussize="0,0"/>
              <v:stroke on="f" weight="0.5pt"/>
              <v:imagedata o:title=""/>
              <o:lock v:ext="edit" aspectratio="f"/>
              <v:textbox inset="0mm,0mm,0mm,0mm" style="mso-fit-shape-to-text:t;">
                <w:txbxContent>
                  <w:p>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6"/>
      <w:jc w:val="both"/>
      <w:rPr>
        <w:u w:val="single"/>
      </w:rPr>
    </w:pPr>
    <w:r>
      <w:drawing>
        <wp:anchor distT="0" distB="0" distL="114300" distR="114300" simplePos="0" relativeHeight="251662336" behindDoc="1" locked="0" layoutInCell="1" allowOverlap="1">
          <wp:simplePos x="0" y="0"/>
          <wp:positionH relativeFrom="margin">
            <wp:posOffset>-20758785</wp:posOffset>
          </wp:positionH>
          <wp:positionV relativeFrom="margin">
            <wp:posOffset>-28734385</wp:posOffset>
          </wp:positionV>
          <wp:extent cx="47244000" cy="66827400"/>
          <wp:effectExtent l="0" t="0" r="0" b="0"/>
          <wp:wrapNone/>
          <wp:docPr id="13" name="WordPictureWatermark127879" descr="微信图片_202307121006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WordPictureWatermark127879" descr="微信图片_20230712100618"/>
                  <pic:cNvPicPr>
                    <a:picLocks noChangeAspect="1"/>
                  </pic:cNvPicPr>
                </pic:nvPicPr>
                <pic:blipFill>
                  <a:blip r:embed="rId1"/>
                  <a:stretch>
                    <a:fillRect/>
                  </a:stretch>
                </pic:blipFill>
                <pic:spPr>
                  <a:xfrm>
                    <a:off x="0" y="0"/>
                    <a:ext cx="47244000" cy="66827400"/>
                  </a:xfrm>
                  <a:prstGeom prst="rect">
                    <a:avLst/>
                  </a:prstGeom>
                  <a:noFill/>
                  <a:ln>
                    <a:noFill/>
                  </a:ln>
                </pic:spPr>
              </pic:pic>
            </a:graphicData>
          </a:graphic>
        </wp:anchor>
      </w:drawing>
    </w:r>
  </w:p>
  <w:p>
    <w:pPr>
      <w:pStyle w:val="6"/>
      <w:jc w:val="both"/>
    </w:pPr>
  </w:p>
  <w:p>
    <w:pPr>
      <w:pStyle w:val="6"/>
      <w:ind w:firstLine="3420" w:firstLineChars="1900"/>
      <w:rPr>
        <w:b/>
        <w:color w:val="0000FF"/>
        <w:sz w:val="21"/>
        <w:szCs w:val="21"/>
      </w:rPr>
    </w:pPr>
    <w:r>
      <w:rPr>
        <w:rFonts w:hint="eastAsia"/>
      </w:rPr>
      <w:t xml:space="preserve">                     </w:t>
    </w:r>
    <w:r>
      <w:rPr>
        <w:rFonts w:hint="eastAsia"/>
        <w:b/>
        <w:color w:val="0000FF"/>
        <w:sz w:val="21"/>
        <w:szCs w:val="21"/>
      </w:rPr>
      <w:t xml:space="preserve">               </w:t>
    </w:r>
    <w:r>
      <w:rPr>
        <w:rFonts w:hint="eastAsia"/>
        <w:b/>
        <w:color w:val="0000FF"/>
        <w:sz w:val="21"/>
        <w:szCs w:val="21"/>
      </w:rPr>
      <w:drawing>
        <wp:inline distT="0" distB="0" distL="114300" distR="114300">
          <wp:extent cx="5689600" cy="5689600"/>
          <wp:effectExtent l="0" t="0" r="10160" b="10160"/>
          <wp:docPr id="7" name="图片 7" descr="微信图片_202307111025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7" descr="微信图片_20230711102555"/>
                  <pic:cNvPicPr>
                    <a:picLocks noChangeAspect="1"/>
                  </pic:cNvPicPr>
                </pic:nvPicPr>
                <pic:blipFill>
                  <a:blip r:embed="rId2"/>
                  <a:stretch>
                    <a:fillRect/>
                  </a:stretch>
                </pic:blipFill>
                <pic:spPr>
                  <a:xfrm>
                    <a:off x="0" y="0"/>
                    <a:ext cx="5689600" cy="5689600"/>
                  </a:xfrm>
                  <a:prstGeom prst="rect">
                    <a:avLst/>
                  </a:prstGeom>
                </pic:spPr>
              </pic:pic>
            </a:graphicData>
          </a:graphic>
        </wp:inline>
      </w:drawing>
    </w:r>
    <w:r>
      <w:rPr>
        <w:rFonts w:hint="eastAsia"/>
        <w:b/>
        <w:color w:val="0000FF"/>
        <w:sz w:val="21"/>
        <w:szCs w:val="21"/>
      </w:rPr>
      <w:t xml:space="preserve">            </w:t>
    </w:r>
    <w:r>
      <w:rPr>
        <w:b/>
        <w:color w:val="0000FF"/>
        <w:sz w:val="21"/>
        <w:szCs w:val="21"/>
      </w:rPr>
      <w:t>Cortes (Shanghai) Biotechnology Co., Ltd</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6"/>
    </w:pPr>
    <w:r>
      <w:drawing>
        <wp:anchor distT="0" distB="0" distL="114300" distR="114300" simplePos="0" relativeHeight="251661312" behindDoc="1" locked="0" layoutInCell="0" allowOverlap="1">
          <wp:simplePos x="0" y="0"/>
          <wp:positionH relativeFrom="margin">
            <wp:align>center</wp:align>
          </wp:positionH>
          <wp:positionV relativeFrom="margin">
            <wp:align>center</wp:align>
          </wp:positionV>
          <wp:extent cx="6582410" cy="7611745"/>
          <wp:effectExtent l="0" t="0" r="8890" b="8255"/>
          <wp:wrapNone/>
          <wp:docPr id="5" name="WordPictureWatermark10272339"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WordPictureWatermark10272339"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6"/>
    </w:pPr>
    <w:r>
      <w:drawing>
        <wp:anchor distT="0" distB="0" distL="114300" distR="114300" simplePos="0" relativeHeight="251660288" behindDoc="1" locked="0" layoutInCell="0" allowOverlap="1">
          <wp:simplePos x="0" y="0"/>
          <wp:positionH relativeFrom="margin">
            <wp:align>center</wp:align>
          </wp:positionH>
          <wp:positionV relativeFrom="margin">
            <wp:align>center</wp:align>
          </wp:positionV>
          <wp:extent cx="6582410" cy="7611745"/>
          <wp:effectExtent l="0" t="0" r="8890" b="8255"/>
          <wp:wrapNone/>
          <wp:docPr id="3" name="WordPictureWatermark10272338"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WordPictureWatermark10272338"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EB40155"/>
    <w:multiLevelType w:val="singleLevel"/>
    <w:tmpl w:val="BEB40155"/>
    <w:lvl w:ilvl="0" w:tentative="0">
      <w:start w:val="1"/>
      <w:numFmt w:val="bullet"/>
      <w:lvlText w:val=""/>
      <w:lvlJc w:val="left"/>
      <w:pPr>
        <w:ind w:left="420" w:hanging="420"/>
      </w:pPr>
      <w:rPr>
        <w:rFonts w:hint="default" w:ascii="Wingdings" w:hAnsi="Wingdings"/>
      </w:rPr>
    </w:lvl>
  </w:abstractNum>
  <w:abstractNum w:abstractNumId="1">
    <w:nsid w:val="CEB5A846"/>
    <w:multiLevelType w:val="singleLevel"/>
    <w:tmpl w:val="CEB5A846"/>
    <w:lvl w:ilvl="0" w:tentative="0">
      <w:start w:val="1"/>
      <w:numFmt w:val="bullet"/>
      <w:lvlText w:val=""/>
      <w:lvlJc w:val="left"/>
      <w:pPr>
        <w:ind w:left="420" w:hanging="420"/>
      </w:pPr>
      <w:rPr>
        <w:rFonts w:hint="default" w:ascii="Wingdings" w:hAnsi="Wingdings"/>
      </w:rPr>
    </w:lvl>
  </w:abstractNum>
  <w:abstractNum w:abstractNumId="2">
    <w:nsid w:val="FBBE72C6"/>
    <w:multiLevelType w:val="singleLevel"/>
    <w:tmpl w:val="FBBE72C6"/>
    <w:lvl w:ilvl="0" w:tentative="0">
      <w:start w:val="1"/>
      <w:numFmt w:val="bullet"/>
      <w:lvlText w:val=""/>
      <w:lvlJc w:val="left"/>
      <w:pPr>
        <w:ind w:left="420" w:hanging="420"/>
      </w:pPr>
      <w:rPr>
        <w:rFonts w:hint="default" w:ascii="Wingdings" w:hAnsi="Wingdings"/>
      </w:rPr>
    </w:lvl>
  </w:abstractNum>
  <w:abstractNum w:abstractNumId="3">
    <w:nsid w:val="318A304E"/>
    <w:multiLevelType w:val="multilevel"/>
    <w:tmpl w:val="318A304E"/>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abstractNum w:abstractNumId="4">
    <w:nsid w:val="54F035E1"/>
    <w:multiLevelType w:val="multilevel"/>
    <w:tmpl w:val="54F035E1"/>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num w:numId="1">
    <w:abstractNumId w:val="4"/>
  </w:num>
  <w:num w:numId="2">
    <w:abstractNumId w:val="3"/>
  </w:num>
  <w:num w:numId="3">
    <w:abstractNumId w:val="2"/>
  </w:num>
  <w:num w:numId="4">
    <w:abstractNumId w:val="1"/>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247"/>
  <w:displayBackgroundShape w:val="1"/>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GI1ZDNmMmEyOTFkMTQ1Njg4OWVmZWQyN2NlOGJkNDgifQ=="/>
  </w:docVars>
  <w:rsids>
    <w:rsidRoot w:val="001D0128"/>
    <w:rsid w:val="00167FC1"/>
    <w:rsid w:val="001D0128"/>
    <w:rsid w:val="0020666B"/>
    <w:rsid w:val="002A7CC6"/>
    <w:rsid w:val="002D1591"/>
    <w:rsid w:val="004C2572"/>
    <w:rsid w:val="004D2809"/>
    <w:rsid w:val="00573134"/>
    <w:rsid w:val="00575760"/>
    <w:rsid w:val="00663F00"/>
    <w:rsid w:val="007B2D21"/>
    <w:rsid w:val="00A109FF"/>
    <w:rsid w:val="00BD733B"/>
    <w:rsid w:val="00CC58A9"/>
    <w:rsid w:val="00CD75DF"/>
    <w:rsid w:val="00E92A5A"/>
    <w:rsid w:val="00EC40FB"/>
    <w:rsid w:val="00EF688A"/>
    <w:rsid w:val="00EF6F7E"/>
    <w:rsid w:val="00F40643"/>
    <w:rsid w:val="00F96ABB"/>
    <w:rsid w:val="00FA4514"/>
    <w:rsid w:val="03EF0707"/>
    <w:rsid w:val="053A58F9"/>
    <w:rsid w:val="06AB431A"/>
    <w:rsid w:val="07DA6351"/>
    <w:rsid w:val="087D2AB7"/>
    <w:rsid w:val="0C1B24F7"/>
    <w:rsid w:val="0CE27424"/>
    <w:rsid w:val="0D716C5C"/>
    <w:rsid w:val="126F6B43"/>
    <w:rsid w:val="16EB42BE"/>
    <w:rsid w:val="17C074F9"/>
    <w:rsid w:val="19295324"/>
    <w:rsid w:val="19D01498"/>
    <w:rsid w:val="1D0427A8"/>
    <w:rsid w:val="1D4961E3"/>
    <w:rsid w:val="1E3D34A8"/>
    <w:rsid w:val="20E406FC"/>
    <w:rsid w:val="21090163"/>
    <w:rsid w:val="214E5B76"/>
    <w:rsid w:val="252C3E9D"/>
    <w:rsid w:val="253E6D56"/>
    <w:rsid w:val="25B90B7D"/>
    <w:rsid w:val="274F43F6"/>
    <w:rsid w:val="28A8200F"/>
    <w:rsid w:val="2A7C3754"/>
    <w:rsid w:val="2AFF455F"/>
    <w:rsid w:val="2BE61D13"/>
    <w:rsid w:val="2DAD2928"/>
    <w:rsid w:val="2EDC696B"/>
    <w:rsid w:val="300D1AF8"/>
    <w:rsid w:val="3279085F"/>
    <w:rsid w:val="32BF0681"/>
    <w:rsid w:val="34A9783B"/>
    <w:rsid w:val="379B18CA"/>
    <w:rsid w:val="3ACF6C5F"/>
    <w:rsid w:val="3E476FA1"/>
    <w:rsid w:val="403B1A92"/>
    <w:rsid w:val="41441021"/>
    <w:rsid w:val="43140575"/>
    <w:rsid w:val="45A831F7"/>
    <w:rsid w:val="487B2006"/>
    <w:rsid w:val="4A33079C"/>
    <w:rsid w:val="4F895E47"/>
    <w:rsid w:val="4FB1539E"/>
    <w:rsid w:val="505B403D"/>
    <w:rsid w:val="51601785"/>
    <w:rsid w:val="5219622B"/>
    <w:rsid w:val="527C01FE"/>
    <w:rsid w:val="52B76527"/>
    <w:rsid w:val="535C5873"/>
    <w:rsid w:val="53B27C58"/>
    <w:rsid w:val="5560066F"/>
    <w:rsid w:val="560E70A6"/>
    <w:rsid w:val="57204800"/>
    <w:rsid w:val="572925FA"/>
    <w:rsid w:val="5A213B99"/>
    <w:rsid w:val="5A655FE8"/>
    <w:rsid w:val="5AFB20BF"/>
    <w:rsid w:val="5BE56AFB"/>
    <w:rsid w:val="5C335AB8"/>
    <w:rsid w:val="5FA41638"/>
    <w:rsid w:val="5FC12487"/>
    <w:rsid w:val="61D1606B"/>
    <w:rsid w:val="64D85BF0"/>
    <w:rsid w:val="682F7E10"/>
    <w:rsid w:val="6BB6367C"/>
    <w:rsid w:val="6FC565D0"/>
    <w:rsid w:val="72A72905"/>
    <w:rsid w:val="73AC5738"/>
    <w:rsid w:val="7835726A"/>
    <w:rsid w:val="789E22CF"/>
    <w:rsid w:val="794329F9"/>
    <w:rsid w:val="79725A1A"/>
    <w:rsid w:val="7AFA1921"/>
    <w:rsid w:val="7D376633"/>
    <w:rsid w:val="F3DDF87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name="annotation text"/>
    <w:lsdException w:qFormat="1" w:uiPriority="99"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rPr>
      <w:rFonts w:ascii="宋体" w:hAnsi="宋体" w:eastAsia="宋体" w:cs="宋体"/>
      <w:sz w:val="24"/>
      <w:szCs w:val="24"/>
      <w:lang w:val="en-US" w:eastAsia="zh-CN" w:bidi="ar-SA"/>
    </w:rPr>
  </w:style>
  <w:style w:type="paragraph" w:styleId="2">
    <w:name w:val="heading 3"/>
    <w:basedOn w:val="1"/>
    <w:next w:val="1"/>
    <w:unhideWhenUsed/>
    <w:qFormat/>
    <w:uiPriority w:val="9"/>
    <w:pPr>
      <w:keepNext/>
      <w:keepLines/>
      <w:spacing w:before="260" w:beforeLines="0" w:beforeAutospacing="0" w:after="260" w:afterLines="0" w:afterAutospacing="0" w:line="413" w:lineRule="auto"/>
      <w:outlineLvl w:val="2"/>
    </w:pPr>
    <w:rPr>
      <w:b/>
      <w:sz w:val="32"/>
    </w:rPr>
  </w:style>
  <w:style w:type="character" w:default="1" w:styleId="10">
    <w:name w:val="Default Paragraph Font"/>
    <w:semiHidden/>
    <w:unhideWhenUsed/>
    <w:qFormat/>
    <w:uiPriority w:val="1"/>
  </w:style>
  <w:style w:type="table" w:default="1" w:styleId="8">
    <w:name w:val="Normal Table"/>
    <w:semiHidden/>
    <w:unhideWhenUsed/>
    <w:qFormat/>
    <w:uiPriority w:val="99"/>
    <w:tblPr>
      <w:tblCellMar>
        <w:top w:w="0" w:type="dxa"/>
        <w:left w:w="108" w:type="dxa"/>
        <w:bottom w:w="0" w:type="dxa"/>
        <w:right w:w="108" w:type="dxa"/>
      </w:tblCellMar>
    </w:tblPr>
  </w:style>
  <w:style w:type="paragraph" w:styleId="3">
    <w:name w:val="annotation text"/>
    <w:basedOn w:val="1"/>
    <w:semiHidden/>
    <w:unhideWhenUsed/>
    <w:qFormat/>
    <w:uiPriority w:val="99"/>
    <w:pPr>
      <w:jc w:val="left"/>
    </w:pPr>
  </w:style>
  <w:style w:type="paragraph" w:styleId="4">
    <w:name w:val="Balloon Text"/>
    <w:basedOn w:val="1"/>
    <w:link w:val="15"/>
    <w:semiHidden/>
    <w:unhideWhenUsed/>
    <w:qFormat/>
    <w:uiPriority w:val="99"/>
    <w:rPr>
      <w:sz w:val="18"/>
      <w:szCs w:val="18"/>
    </w:rPr>
  </w:style>
  <w:style w:type="paragraph" w:styleId="5">
    <w:name w:val="footer"/>
    <w:basedOn w:val="1"/>
    <w:link w:val="14"/>
    <w:unhideWhenUsed/>
    <w:qFormat/>
    <w:uiPriority w:val="99"/>
    <w:pPr>
      <w:tabs>
        <w:tab w:val="center" w:pos="4153"/>
        <w:tab w:val="right" w:pos="8306"/>
      </w:tabs>
      <w:snapToGrid w:val="0"/>
    </w:pPr>
    <w:rPr>
      <w:sz w:val="18"/>
      <w:szCs w:val="18"/>
    </w:rPr>
  </w:style>
  <w:style w:type="paragraph" w:styleId="6">
    <w:name w:val="header"/>
    <w:basedOn w:val="1"/>
    <w:link w:val="13"/>
    <w:semiHidden/>
    <w:unhideWhenUsed/>
    <w:qFormat/>
    <w:uiPriority w:val="99"/>
    <w:pPr>
      <w:pBdr>
        <w:bottom w:val="single" w:color="auto" w:sz="6" w:space="1"/>
      </w:pBdr>
      <w:tabs>
        <w:tab w:val="center" w:pos="4153"/>
        <w:tab w:val="right" w:pos="8306"/>
      </w:tabs>
      <w:snapToGrid w:val="0"/>
      <w:jc w:val="center"/>
    </w:pPr>
    <w:rPr>
      <w:sz w:val="18"/>
      <w:szCs w:val="18"/>
    </w:rPr>
  </w:style>
  <w:style w:type="paragraph" w:styleId="7">
    <w:name w:val="Normal (Web)"/>
    <w:basedOn w:val="1"/>
    <w:unhideWhenUsed/>
    <w:qFormat/>
    <w:uiPriority w:val="99"/>
    <w:pPr>
      <w:spacing w:before="100" w:beforeAutospacing="1" w:after="100" w:afterAutospacing="1"/>
    </w:pPr>
  </w:style>
  <w:style w:type="table" w:styleId="9">
    <w:name w:val="Table Grid"/>
    <w:basedOn w:val="8"/>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1">
    <w:name w:val="Strong"/>
    <w:basedOn w:val="10"/>
    <w:qFormat/>
    <w:uiPriority w:val="22"/>
    <w:rPr>
      <w:b/>
    </w:rPr>
  </w:style>
  <w:style w:type="character" w:styleId="12">
    <w:name w:val="Hyperlink"/>
    <w:basedOn w:val="10"/>
    <w:unhideWhenUsed/>
    <w:qFormat/>
    <w:uiPriority w:val="99"/>
    <w:rPr>
      <w:color w:val="0000FF" w:themeColor="hyperlink"/>
      <w:u w:val="single"/>
      <w14:textFill>
        <w14:solidFill>
          <w14:schemeClr w14:val="hlink"/>
        </w14:solidFill>
      </w14:textFill>
    </w:rPr>
  </w:style>
  <w:style w:type="character" w:customStyle="1" w:styleId="13">
    <w:name w:val="页眉 字符"/>
    <w:basedOn w:val="10"/>
    <w:link w:val="6"/>
    <w:semiHidden/>
    <w:qFormat/>
    <w:uiPriority w:val="99"/>
    <w:rPr>
      <w:sz w:val="18"/>
      <w:szCs w:val="18"/>
    </w:rPr>
  </w:style>
  <w:style w:type="character" w:customStyle="1" w:styleId="14">
    <w:name w:val="页脚 字符"/>
    <w:basedOn w:val="10"/>
    <w:link w:val="5"/>
    <w:qFormat/>
    <w:uiPriority w:val="99"/>
    <w:rPr>
      <w:sz w:val="18"/>
      <w:szCs w:val="18"/>
    </w:rPr>
  </w:style>
  <w:style w:type="character" w:customStyle="1" w:styleId="15">
    <w:name w:val="批注框文本 字符"/>
    <w:basedOn w:val="10"/>
    <w:link w:val="4"/>
    <w:semiHidden/>
    <w:qFormat/>
    <w:uiPriority w:val="99"/>
    <w:rPr>
      <w:sz w:val="18"/>
      <w:szCs w:val="18"/>
    </w:rPr>
  </w:style>
  <w:style w:type="paragraph" w:styleId="16">
    <w:name w:val="List Paragraph"/>
    <w:basedOn w:val="1"/>
    <w:qFormat/>
    <w:uiPriority w:val="34"/>
    <w:pPr>
      <w:ind w:firstLine="420" w:firstLineChars="200"/>
    </w:pPr>
  </w:style>
</w:styles>
</file>

<file path=word/_rels/document.xml.rels><?xml version='1.0' encoding='UTF-8' standalone='yes'?>
<Relationships xmlns="http://schemas.openxmlformats.org/package/2006/relationships"><Relationship Id="rId9" Type="http://schemas.openxmlformats.org/officeDocument/2006/relationships/image" Target="media/image5.jpeg"/><Relationship Id="rId8" Type="http://schemas.openxmlformats.org/officeDocument/2006/relationships/image" Target="media/image4.jpeg"/><Relationship Id="rId7" Type="http://schemas.openxmlformats.org/officeDocument/2006/relationships/theme" Target="theme/theme1.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2" Type="http://schemas.openxmlformats.org/officeDocument/2006/relationships/fontTable" Target="fontTable.xml"/><Relationship Id="rId11" Type="http://schemas.openxmlformats.org/officeDocument/2006/relationships/numbering" Target="numbering.xml"/><Relationship Id="rId10" Type="http://schemas.openxmlformats.org/officeDocument/2006/relationships/customXml" Target="../customXml/item1.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_rels/header3.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Microsoft</Company>
  <Pages>27</Pages>
  <Words>7806</Words>
  <Characters>13770</Characters>
  <Lines>251</Lines>
  <Paragraphs>70</Paragraphs>
  <TotalTime>0</TotalTime>
  <ScaleCrop>false</ScaleCrop>
  <LinksUpToDate>false</LinksUpToDate>
  <CharactersWithSpaces>14921</CharactersWithSpaces>
  <Application>WPS Office_6.2.2.8394_F1E327BC-269C-435d-A152-05C5408002CA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2023-01-04T11:53:00Z</dcterms:created>
  <dc:creator>admin</dc:creator>
  <cp:lastModifiedBy>zengliushuan1</cp:lastModifiedBy>
  <cp:lastPrinted>2023-01-04T13:48:00Z</cp:lastPrinted>
  <dcterms:modified xsi:type="dcterms:W3CDTF">2026-05-18T19:41:53Z</dcterms:modified>
  <cp:revision>9</cp:revision>
  <dc:description/>
  <dc:identifier/>
  <dc:language/>
  <dc:subject/>
  <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2052-6.2.2.8394</vt:lpwstr>
  </property>
  <property fmtid="{D5CDD505-2E9C-101B-9397-08002B2CF9AE}" pid="3" name="ICV">
    <vt:lpwstr>F00D21E33428452494126305BB247E42_13</vt:lpwstr>
  </property>
  <property fmtid="{D5CDD505-2E9C-101B-9397-08002B2CF9AE}" pid="4" name="KSOTemplateDocerSaveRecord">
    <vt:lpwstr>eyJoZGlkIjoiZThmNjAzMWJlZjFkMmQwODUwMTJkYzE2ODFiYmFmYTciLCJ1c2VySWQiOiIyNDE4ODE0MTUifQ==</vt:lpwstr>
  </property>
</Properties>
</file>