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336C3">
      <w:pPr>
        <w:pStyle w:val="2"/>
        <w:bidi w:val="0"/>
        <w:jc w:val="center"/>
        <w:rPr>
          <w:rFonts w:hint="default" w:ascii="Times New Roman" w:hAnsi="Times New Roman" w:cs="Times New Roman"/>
          <w:b/>
          <w:bCs w:val="0"/>
          <w:sz w:val="36"/>
          <w:szCs w:val="36"/>
        </w:rPr>
      </w:pPr>
      <w:r>
        <w:rPr>
          <w:rFonts w:hint="eastAsia"/>
          <w:b/>
          <w:bCs/>
          <w:sz w:val="36"/>
          <w:szCs w:val="36"/>
        </w:rPr>
        <w:t>Mouse IL-28A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26DB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70301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4E804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22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5AA6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623C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8600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CB95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F89D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370E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3643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6BB7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5E1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5A48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87FBE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5C528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94240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20B25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E52EB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E3581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D11BB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FB69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B56E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1780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00B6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04BA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3FA4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3EF4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扰素lambda-2，也称为IFNL2或IL28A，是与I型干扰素相关的II类细胞因子受体配体。该基因定位于19q13.2。该基因编码一种与I型干扰素和IL-10家族远亲的细胞因子。这个基因，白细胞介素28B（IL28B）和白细胞介素29（IL29）是三个密切相关的细胞因子基因，形成了一个细胞因子基因簇。它上调MHC I类抗原的表达。它还显示出抗肿瘤活性。</w:t>
      </w:r>
    </w:p>
    <w:p w14:paraId="7394D647">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rPr>
      </w:pPr>
    </w:p>
    <w:p w14:paraId="78ACE848">
      <w:pPr>
        <w:ind w:firstLine="441" w:firstLineChars="0"/>
        <w:rPr>
          <w:rFonts w:hint="default" w:ascii="Times New Roman" w:hAnsi="Times New Roman" w:cs="Times New Roman"/>
        </w:rPr>
      </w:pPr>
    </w:p>
    <w:p w14:paraId="2036EB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152F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710D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55DD2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68D1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ED221A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AD306E">
      <w:pPr>
        <w:rPr>
          <w:rFonts w:hint="default" w:ascii="Times New Roman" w:hAnsi="Times New Roman" w:cs="Times New Roman"/>
        </w:rPr>
      </w:pPr>
      <w:r>
        <w:rPr>
          <w:rFonts w:hint="default" w:ascii="Times New Roman" w:hAnsi="Times New Roman" w:cs="Times New Roman"/>
        </w:rPr>
        <w:br w:type="page"/>
      </w:r>
    </w:p>
    <w:p w14:paraId="51D67E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CFA3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FCC6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88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58"/>
        <w:gridCol w:w="1653"/>
        <w:gridCol w:w="1653"/>
        <w:gridCol w:w="1655"/>
      </w:tblGrid>
      <w:tr w14:paraId="428A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3858" w:type="dxa"/>
            <w:vMerge w:val="restart"/>
            <w:vAlign w:val="center"/>
          </w:tcPr>
          <w:p w14:paraId="47FAC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bookmarkStart w:id="0" w:name="_GoBack"/>
            <w:r>
              <w:rPr>
                <w:rFonts w:hint="default" w:ascii="Times New Roman" w:hAnsi="Times New Roman" w:cs="Times New Roman"/>
                <w:b/>
                <w:bCs/>
                <w:sz w:val="24"/>
                <w:szCs w:val="24"/>
                <w:lang w:val="en-US" w:eastAsia="zh-CN"/>
              </w:rPr>
              <w:t>组 分</w:t>
            </w:r>
          </w:p>
        </w:tc>
        <w:tc>
          <w:tcPr>
            <w:tcW w:w="4961" w:type="dxa"/>
            <w:gridSpan w:val="3"/>
            <w:vAlign w:val="center"/>
          </w:tcPr>
          <w:p w14:paraId="6CAA2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D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3858" w:type="dxa"/>
            <w:vMerge w:val="continue"/>
            <w:vAlign w:val="center"/>
          </w:tcPr>
          <w:p w14:paraId="0A136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653" w:type="dxa"/>
            <w:vAlign w:val="center"/>
          </w:tcPr>
          <w:p w14:paraId="2578D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653" w:type="dxa"/>
            <w:vAlign w:val="center"/>
          </w:tcPr>
          <w:p w14:paraId="55CBC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655" w:type="dxa"/>
            <w:vAlign w:val="center"/>
          </w:tcPr>
          <w:p w14:paraId="65239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39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858" w:type="dxa"/>
            <w:vAlign w:val="center"/>
          </w:tcPr>
          <w:p w14:paraId="34B94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653" w:type="dxa"/>
            <w:vAlign w:val="center"/>
          </w:tcPr>
          <w:p w14:paraId="49115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653" w:type="dxa"/>
            <w:vAlign w:val="center"/>
          </w:tcPr>
          <w:p w14:paraId="5E783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655" w:type="dxa"/>
            <w:vAlign w:val="center"/>
          </w:tcPr>
          <w:p w14:paraId="249F3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986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858" w:type="dxa"/>
            <w:vAlign w:val="center"/>
          </w:tcPr>
          <w:p w14:paraId="11ABE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653" w:type="dxa"/>
            <w:vAlign w:val="center"/>
          </w:tcPr>
          <w:p w14:paraId="0BAC9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653" w:type="dxa"/>
            <w:vAlign w:val="center"/>
          </w:tcPr>
          <w:p w14:paraId="2CDBC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655" w:type="dxa"/>
            <w:vAlign w:val="center"/>
          </w:tcPr>
          <w:p w14:paraId="1BF76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27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3858" w:type="dxa"/>
            <w:vAlign w:val="center"/>
          </w:tcPr>
          <w:p w14:paraId="64666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144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653" w:type="dxa"/>
            <w:vAlign w:val="center"/>
          </w:tcPr>
          <w:p w14:paraId="6319A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653" w:type="dxa"/>
            <w:vAlign w:val="center"/>
          </w:tcPr>
          <w:p w14:paraId="3ACB7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655" w:type="dxa"/>
            <w:vAlign w:val="center"/>
          </w:tcPr>
          <w:p w14:paraId="1E812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B1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3858" w:type="dxa"/>
            <w:vAlign w:val="center"/>
          </w:tcPr>
          <w:p w14:paraId="1DA43D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653" w:type="dxa"/>
            <w:vAlign w:val="center"/>
          </w:tcPr>
          <w:p w14:paraId="4D799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653" w:type="dxa"/>
            <w:vAlign w:val="center"/>
          </w:tcPr>
          <w:p w14:paraId="6DC4A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655" w:type="dxa"/>
            <w:vAlign w:val="center"/>
          </w:tcPr>
          <w:p w14:paraId="04510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52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3858" w:type="dxa"/>
            <w:vAlign w:val="center"/>
          </w:tcPr>
          <w:p w14:paraId="496712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653" w:type="dxa"/>
            <w:shd w:val="clear" w:color="auto" w:fill="auto"/>
            <w:vAlign w:val="center"/>
          </w:tcPr>
          <w:p w14:paraId="155F2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653" w:type="dxa"/>
            <w:shd w:val="clear" w:color="auto" w:fill="auto"/>
            <w:vAlign w:val="center"/>
          </w:tcPr>
          <w:p w14:paraId="5FA99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655" w:type="dxa"/>
            <w:shd w:val="clear" w:color="auto" w:fill="auto"/>
            <w:vAlign w:val="center"/>
          </w:tcPr>
          <w:p w14:paraId="25EF3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85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3858" w:type="dxa"/>
            <w:vAlign w:val="center"/>
          </w:tcPr>
          <w:p w14:paraId="7CB87E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C770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653" w:type="dxa"/>
            <w:shd w:val="clear" w:color="auto" w:fill="auto"/>
            <w:vAlign w:val="center"/>
          </w:tcPr>
          <w:p w14:paraId="32E09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653" w:type="dxa"/>
            <w:shd w:val="clear" w:color="auto" w:fill="auto"/>
            <w:vAlign w:val="center"/>
          </w:tcPr>
          <w:p w14:paraId="2FD61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655" w:type="dxa"/>
            <w:shd w:val="clear" w:color="auto" w:fill="auto"/>
            <w:vAlign w:val="center"/>
          </w:tcPr>
          <w:p w14:paraId="56F19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5D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3858" w:type="dxa"/>
            <w:vAlign w:val="center"/>
          </w:tcPr>
          <w:p w14:paraId="2C47E0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4C9BB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653" w:type="dxa"/>
            <w:shd w:val="clear" w:color="auto" w:fill="auto"/>
            <w:vAlign w:val="center"/>
          </w:tcPr>
          <w:p w14:paraId="7C8D7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653" w:type="dxa"/>
            <w:shd w:val="clear" w:color="auto" w:fill="auto"/>
            <w:vAlign w:val="center"/>
          </w:tcPr>
          <w:p w14:paraId="13705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655" w:type="dxa"/>
            <w:shd w:val="clear" w:color="auto" w:fill="auto"/>
            <w:vAlign w:val="center"/>
          </w:tcPr>
          <w:p w14:paraId="21D39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F0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3858" w:type="dxa"/>
            <w:vAlign w:val="center"/>
          </w:tcPr>
          <w:p w14:paraId="48C18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A73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653" w:type="dxa"/>
            <w:vAlign w:val="center"/>
          </w:tcPr>
          <w:p w14:paraId="07A31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653" w:type="dxa"/>
            <w:vAlign w:val="center"/>
          </w:tcPr>
          <w:p w14:paraId="2D210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655" w:type="dxa"/>
            <w:vAlign w:val="center"/>
          </w:tcPr>
          <w:p w14:paraId="76DE3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9F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858" w:type="dxa"/>
            <w:vAlign w:val="center"/>
          </w:tcPr>
          <w:p w14:paraId="28873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653" w:type="dxa"/>
            <w:vAlign w:val="center"/>
          </w:tcPr>
          <w:p w14:paraId="1D45E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653" w:type="dxa"/>
            <w:vAlign w:val="center"/>
          </w:tcPr>
          <w:p w14:paraId="6B917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655" w:type="dxa"/>
            <w:vAlign w:val="center"/>
          </w:tcPr>
          <w:p w14:paraId="618A3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97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858" w:type="dxa"/>
            <w:vAlign w:val="center"/>
          </w:tcPr>
          <w:p w14:paraId="12DF3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653" w:type="dxa"/>
            <w:vAlign w:val="center"/>
          </w:tcPr>
          <w:p w14:paraId="69DB7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653" w:type="dxa"/>
            <w:vAlign w:val="center"/>
          </w:tcPr>
          <w:p w14:paraId="3CD89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655" w:type="dxa"/>
            <w:vAlign w:val="center"/>
          </w:tcPr>
          <w:p w14:paraId="3569A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22E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3858" w:type="dxa"/>
            <w:shd w:val="clear" w:color="auto" w:fill="auto"/>
            <w:vAlign w:val="center"/>
          </w:tcPr>
          <w:p w14:paraId="2EE160F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653" w:type="dxa"/>
            <w:shd w:val="clear" w:color="auto" w:fill="auto"/>
            <w:vAlign w:val="center"/>
          </w:tcPr>
          <w:p w14:paraId="57A36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653" w:type="dxa"/>
            <w:shd w:val="clear" w:color="auto" w:fill="auto"/>
            <w:vAlign w:val="center"/>
          </w:tcPr>
          <w:p w14:paraId="6E8FD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655" w:type="dxa"/>
            <w:shd w:val="clear" w:color="auto" w:fill="auto"/>
            <w:vAlign w:val="center"/>
          </w:tcPr>
          <w:p w14:paraId="70881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bookmarkEnd w:id="0"/>
    </w:tbl>
    <w:p w14:paraId="2A14D3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5CFA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CD69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1AF0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39F0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57B6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CF70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09523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737C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D1C4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E576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D3CA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1B5F6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44E9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EAA07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B4CF9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7760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7D1B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53D8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5927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00EC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EF7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DFB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1F9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005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A44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04B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C47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0E5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0866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B83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2B94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985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D58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57B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611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A7B3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0092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903C4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B72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C8DA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4E2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6F5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764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212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C55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4B7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29E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AC8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726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CE5A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5AE39F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2B8E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8BFE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0BE9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8958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42B8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FB17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CB1BA2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7685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45FE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615D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85F5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E806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1B9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91E5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0E42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0B60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8FC61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D3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1BA19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0998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56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193C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91C1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2A5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489E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EFF9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9F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6241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EFF6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F730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374B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778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9BE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BC7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664D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AC36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E75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013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D0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2E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5B4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BB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2D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ED9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7C9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A5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FF3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44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31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AC1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79D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DF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809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FB3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FC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191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A3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16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D76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E8A2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4B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28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AA2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06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D0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A594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92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AE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9CD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65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D4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A5E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DAF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6D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C04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D1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4B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DA31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BF8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96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DD8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E4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66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5F4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E6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4C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F8E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65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04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F30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DE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26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EF8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0D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71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445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6900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27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14B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627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D0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E5C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6F0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68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0E9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42F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99F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4ED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EA3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35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3A6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5F0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D8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962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EF4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CC1A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65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8E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FC2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FA1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51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5B7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FC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22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CF37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E9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E8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133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20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72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262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CF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22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CF9F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272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C1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9BD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F50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AC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76D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87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24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FC3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180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7A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60E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34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FD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2C1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1F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37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286A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79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F9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719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82B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48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39A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E7CC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85AF9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F0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53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0A1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61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2F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652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8B3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61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39A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12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48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A48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F73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29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A7C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2B7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FB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908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7C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B7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E51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60AC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06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A6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7D0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127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11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C887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E72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6B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7F7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1492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3B24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F026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6FDE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40D0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FD018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ED8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E979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DE55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37BA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DDC2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7953F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7F3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2419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BDF3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E6CF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316E2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A1D2CD">
      <w:pPr>
        <w:rPr>
          <w:rFonts w:hint="default" w:ascii="Times New Roman" w:hAnsi="Times New Roman" w:cs="Times New Roman"/>
          <w:sz w:val="22"/>
          <w:szCs w:val="22"/>
        </w:rPr>
      </w:pPr>
    </w:p>
    <w:p w14:paraId="417231A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43DD6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IL-28A Elisa Kit</w:t>
      </w:r>
    </w:p>
    <w:p w14:paraId="6396A3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993FB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0A8E7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77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A8B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49A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B578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0AC9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8D7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FB0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2EBC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662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29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A49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C60D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1DA4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6232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D798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1486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227C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7137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AD18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2608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A8E1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6699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A1AE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FC4BA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46BC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IL-28A is Interferon lambda-2, also called IFNL2 or IL28A is a class II cytokine receptor ligand related to type I interferons. This gene is mapped to 19q13.2. This gene encodes a cytokine distantly related to type I interferons and the IL-10 family. This gene, interleukin 28B(IL28B), and interleukin 29(IL29) are three closely related cytokine genes that form a cytokine gene cluster. It up-regulates MHC class I antigen expression. It also displays antitumor activity. The ligand/receptor complex seems to signal through the Jak-STAT pathway. This gene seems not to be essential for early virus-activated host defense in vaginal infection, but plays an important role in Toll-like receptor(TLR)-induced antiviral defense. It seems play a significant role in the antiviral immune defense in the intestinal epithelium.</w:t>
      </w:r>
    </w:p>
    <w:p w14:paraId="59E4AD1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6C4A4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C8DD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6C5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3E8F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57B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BEB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ECC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00CB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0FAF31D">
      <w:pPr>
        <w:rPr>
          <w:rFonts w:hint="default" w:ascii="Times New Roman" w:hAnsi="Times New Roman" w:cs="Times New Roman"/>
          <w:b/>
          <w:bCs/>
          <w:sz w:val="28"/>
          <w:szCs w:val="28"/>
        </w:rPr>
      </w:pPr>
    </w:p>
    <w:p w14:paraId="6A280849">
      <w:pPr>
        <w:rPr>
          <w:rFonts w:hint="default" w:ascii="Times New Roman" w:hAnsi="Times New Roman" w:cs="Times New Roman"/>
          <w:b/>
          <w:bCs/>
          <w:sz w:val="28"/>
          <w:szCs w:val="28"/>
        </w:rPr>
      </w:pPr>
    </w:p>
    <w:p w14:paraId="1DF64E5A">
      <w:pPr>
        <w:rPr>
          <w:rFonts w:hint="default" w:ascii="Times New Roman" w:hAnsi="Times New Roman" w:cs="Times New Roman"/>
          <w:b/>
          <w:bCs/>
          <w:sz w:val="28"/>
          <w:szCs w:val="28"/>
        </w:rPr>
      </w:pPr>
    </w:p>
    <w:p w14:paraId="35A379D7">
      <w:pPr>
        <w:rPr>
          <w:rFonts w:hint="default" w:ascii="Times New Roman" w:hAnsi="Times New Roman" w:cs="Times New Roman"/>
          <w:b/>
          <w:bCs/>
          <w:sz w:val="28"/>
          <w:szCs w:val="28"/>
        </w:rPr>
      </w:pPr>
    </w:p>
    <w:p w14:paraId="0E7A698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2F5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A375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7BD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9D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D9BC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37E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C8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0C6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8CC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D1D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31A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D8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9FD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8904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08F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F3A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4A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908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26C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93BE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88CC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05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4682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D20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280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22E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3C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3D47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608F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BBD1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BA4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86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A9D0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A7D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973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1E4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2A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3DD1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2FE2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A537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1367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C2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E9FE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9D0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F50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741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FC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9D3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194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657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07F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B2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3E3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A49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185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0ED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8B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9F9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F13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9545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0CE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11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EFE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169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1A6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BE1D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DCDD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EF2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0A8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AA5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4A82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9C29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2D1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4676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45EA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3F8D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ED4A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7A59C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FD7E1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BF93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94DE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F661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F5D1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385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36A5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9982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98D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6F84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503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DCCA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460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938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DEC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907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F5F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5F9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6822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4B7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258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ED1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992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28A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DDD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233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2E84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11B0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A24F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27B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22A2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9EFA3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EC032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468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4AA3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402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FB6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D26E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149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709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267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6F84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762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D1A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5B6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E81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411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7E3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586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BB6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0354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593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6CA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BA7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CB83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9FA0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CFB4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C75A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3FBF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BD728D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C14E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5A70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2F16F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BDC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64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7F3B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A09CD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B5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A2C2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9D5C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DD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E034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A13E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4E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F8B6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A660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92D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186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1B8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A37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8B30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5A7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3B9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4D4E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4E8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77BD9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2E0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8C07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7E99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4B4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C13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3B48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B73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603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9E18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BBD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E8D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D624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7C4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671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29B7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1D5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241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D06EC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291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F21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096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5D5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936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09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D4F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0C2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8A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77A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577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17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524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BD9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8E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27E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D1C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D3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B0E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F28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8D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10D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0CA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D5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95E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C968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F5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0A9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39B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77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4F0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718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9F3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749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63E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E2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CB7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822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A1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60A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41D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8F2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90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D53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565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EC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850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16B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7B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B633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46D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9C1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F3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81E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C2C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C6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BCF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22B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C7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DD3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43E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A3B9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C0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6E7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9D4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C5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FAE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E24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93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B0A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61B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6D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D53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216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B4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6B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66D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62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AE3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F38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9D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2C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E8C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2B2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17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E93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83D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35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35A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D6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B86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871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E0D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25B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EC19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07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3B8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6E7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93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951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EA1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96E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C5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79D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7BDEA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F076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1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CCD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FF6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3D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D6D0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4FB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41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D9C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A7BD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61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20F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AA8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A9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A6D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FF6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2B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B8A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752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90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AA86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985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7C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ABD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3F3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A6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B7E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731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76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99E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0A4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B1E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3B3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C71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E45C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4F6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350B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C8C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E79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34D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96E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6F4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0858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0F1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w:t>
      </w:r>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s between the experimental results and the factory results or the increase in the difference between batches of kits.</w:t>
      </w:r>
    </w:p>
    <w:p w14:paraId="3D43E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564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26B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F4F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0506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1B7A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1B7A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1686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A32BC18">
    <w:pPr>
      <w:pStyle w:val="6"/>
      <w:jc w:val="both"/>
    </w:pPr>
  </w:p>
  <w:p w14:paraId="2FAF0C2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7FA5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14B0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EDF6223"/>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8AA0A69"/>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7366</Words>
  <Characters>11514</Characters>
  <Lines>251</Lines>
  <Paragraphs>70</Paragraphs>
  <TotalTime>2</TotalTime>
  <ScaleCrop>false</ScaleCrop>
  <LinksUpToDate>false</LinksUpToDate>
  <CharactersWithSpaces>12209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2026-05-29T06:25:37Z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