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C3739C8">
      <w:pPr>
        <w:pStyle w:val="2"/>
        <w:bidi w:val="0"/>
        <w:jc w:val="center"/>
        <w:rPr>
          <w:rFonts w:hint="default" w:ascii="Times New Roman" w:hAnsi="Times New Roman" w:cs="Times New Roman"/>
          <w:b/>
          <w:bCs w:val="0"/>
          <w:sz w:val="36"/>
          <w:szCs w:val="36"/>
        </w:rPr>
      </w:pPr>
      <w:r>
        <w:rPr>
          <w:rFonts w:hint="eastAsia"/>
          <w:b/>
          <w:bCs/>
          <w:sz w:val="36"/>
          <w:szCs w:val="36"/>
        </w:rPr>
        <w:t>Human S100A2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6C5AEA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78–5000pg/ml</w:t>
      </w:r>
    </w:p>
    <w:p w14:paraId="06F3580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15.6pg/ml</w:t>
      </w:r>
    </w:p>
    <w:p w14:paraId="7E18CD4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0EE5D9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EE64B6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3620442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3BB2887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6A9E247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2D390DE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674150B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566D454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1DF4529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7CB9AE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BAEA93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5000.0</w:t>
            </w:r>
          </w:p>
        </w:tc>
        <w:tc>
          <w:tcPr>
            <w:tcW w:w="1134" w:type="dxa"/>
            <w:vAlign w:val="center"/>
          </w:tcPr>
          <w:p w14:paraId="0321004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2500.0</w:t>
            </w:r>
          </w:p>
        </w:tc>
        <w:tc>
          <w:tcPr>
            <w:tcW w:w="1134" w:type="dxa"/>
            <w:vAlign w:val="center"/>
          </w:tcPr>
          <w:p w14:paraId="28D176C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1250.0</w:t>
            </w:r>
          </w:p>
        </w:tc>
        <w:tc>
          <w:tcPr>
            <w:tcW w:w="1134" w:type="dxa"/>
            <w:vAlign w:val="center"/>
          </w:tcPr>
          <w:p w14:paraId="71CCF31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625.0</w:t>
            </w:r>
          </w:p>
        </w:tc>
        <w:tc>
          <w:tcPr>
            <w:tcW w:w="1134" w:type="dxa"/>
            <w:vAlign w:val="center"/>
          </w:tcPr>
          <w:p w14:paraId="2645A82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33A7DF8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156.25</w:t>
            </w:r>
          </w:p>
        </w:tc>
        <w:tc>
          <w:tcPr>
            <w:tcW w:w="1134" w:type="dxa"/>
            <w:vAlign w:val="center"/>
          </w:tcPr>
          <w:p w14:paraId="207FD4E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78.0</w:t>
            </w:r>
          </w:p>
        </w:tc>
        <w:tc>
          <w:tcPr>
            <w:tcW w:w="1134" w:type="dxa"/>
            <w:vAlign w:val="center"/>
          </w:tcPr>
          <w:p w14:paraId="752DBA6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4CE2600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54F5B72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1D13B6C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565207D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65B54CE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1E3BBA3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5B4D250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S100A2（S100钙结合蛋白A2）是蛋白质编码基因。与S100A2相关的疾病包括毛基质瘤和结膜上皮内肿瘤。其相关途径包括p73转录因子网络和维生素D受体途径。与该基因相关的基因本体（GO）注释包括钙离子结合和相同蛋白结合。该基因的一个重要副log是S100A4。</w:t>
      </w:r>
    </w:p>
    <w:p w14:paraId="305F99F8">
      <w:pPr>
        <w:ind w:firstLine="441" w:firstLineChars="0"/>
        <w:rPr>
          <w:rFonts w:hint="default" w:ascii="Times New Roman" w:hAnsi="Times New Roman" w:cs="Times New Roman"/>
        </w:rPr>
      </w:pPr>
    </w:p>
    <w:p w14:paraId="54D34EA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3BBBB45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5A46F3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B12164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529FE49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56CF3A3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5DB3FDC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4047F014">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66D3FAB8">
      <w:pPr>
        <w:rPr>
          <w:rFonts w:hint="default" w:ascii="Times New Roman" w:hAnsi="Times New Roman" w:cs="Times New Roman"/>
        </w:rPr>
      </w:pPr>
      <w:r>
        <w:rPr>
          <w:rFonts w:hint="default" w:ascii="Times New Roman" w:hAnsi="Times New Roman" w:cs="Times New Roman"/>
        </w:rPr>
        <w:br w:type="page"/>
      </w:r>
    </w:p>
    <w:p w14:paraId="2B94A66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2212BDE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0AFAF9D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10AB18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24C83B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5DDB0C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3933E7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648A56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69734B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5C36CC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3E06B5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140F15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310B0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4CDA21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03A5F7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085CDE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49535B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A2680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1A4A53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60415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5D1CD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7925B4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3E523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7909B5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7D3D12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2391A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0B7AC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C20FB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45F9D7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6A4305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658E61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22C567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D9500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312BC8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05242B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F06EA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50729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610AC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CCE646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42BBDEE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06DE82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353E51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65D5A7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44712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0B22E6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2711341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66594C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9731A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BD9F4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48A8C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1C1B4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6C2334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0927B4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F6566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EA254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FCDA0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5FD29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2986E1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514167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BA21B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2773B5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6ABEB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532C33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6A2E5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BB813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3E5743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03061E0B">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05E7EC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7319C7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116130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35232D3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B275B6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2CF995F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307F7B5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44921CFC">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6E2C153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4D4F3C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6EACD51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24E672B4">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36CC19B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6FC9EE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19985A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73BAD4B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5E9177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E314122">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7EB81C5F">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72CE2E12">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6A2DE69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A8E832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49DC342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3F115E4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4DF43B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36D1B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3B3ACC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95B17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EB375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7FBA28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537EB3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7582D3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59D1FCA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243E6D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47834A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52A2F6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3FEF2B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34AD28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39F984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1C7D1B7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64018CF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19B645F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5BCFD35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71066B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06DB76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7B58AD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26CAAD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4C105E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0AAF45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26C190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65D292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18F91A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3A34B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7A22A44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191626E4">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059736E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6E32706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4401DF6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216C673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A2589C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00E9863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4F8A1C99">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466A1DB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46A8BDA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59C9F0A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04CE94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500B364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1B8F3C4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F13894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0140328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0D0043A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0AE9CE55">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4D0CF7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6237081">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44895F7C">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0FFFA4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6D4FB2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18589F6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7EA34A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BAFFBD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1AF3FFA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72414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A661DD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7D6F3C1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37A383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5B15935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18F890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48EDD67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7B6D879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36AC1D5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6AA816E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7EDCE4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57A3AB3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167CE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E9B9B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E619F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6014D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EB74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04C796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56403C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29FC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1BDE69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643F21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EB3F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6F039C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5AEF7B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063D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207571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348CE3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0D03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601475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7634C2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C2DD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3986D3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33E48AB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B2FDE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058B8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82E9D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32C83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DA8F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377454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245F72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C3DE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61F57C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33B2F8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ED6F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246F60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5F434D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CE32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13451CB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4525D7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54E0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658F283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647B6A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280C7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626F28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5238EE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D696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56C1AF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10EFD8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AA63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439A85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79817D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277B4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5A88FEA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68DC49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F3BA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757787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24655F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DA999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73E5C50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0E95130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875BF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090BA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9D9AF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A4B0A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5EC7C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0BDF66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05F1D3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15430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4B3AA2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0BFA93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3DE06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35E067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42C93C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A56A8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5CAF95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61EDE9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FF378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7DA2E6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42E2259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7E76F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FD61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02E8F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9183E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2DC7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4B9D8D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409651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50DC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4E6DD1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064941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13A9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4EE68E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3A23BA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4980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025360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14491D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C241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0E885D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7B750F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1C51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214036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1B86ED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498D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7E9BDC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2476F4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F075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2F7D64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78004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579C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1C9093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064F96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CA0F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5072CA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14DDA5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3A78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69534B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6408FB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AF84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35AE99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4671D4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5D21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22F025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21A21C1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0973F77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C423F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A3ED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043E1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67E3F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E36E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787C64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6BD916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09C1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0B667F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41D981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0341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2CEC56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7F993A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AB35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568623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11A12D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0EE3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0D2DEB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7E40EF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DA7F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26FD63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2992F3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02119A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D339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77FAA7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7FD14A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64A1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1DAF35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62B1C0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1732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24ED04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77EA206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1F7396C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14A01CC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158F5EE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2BBE33A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3B963AF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4964BE1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10A7EAD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72643F0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7D316E8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78CF78E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3179883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30F30D0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268F090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0FB2328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127E38B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77A647B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25DD5E87">
      <w:pPr>
        <w:rPr>
          <w:rFonts w:hint="default" w:ascii="Times New Roman" w:hAnsi="Times New Roman" w:cs="Times New Roman"/>
          <w:sz w:val="22"/>
          <w:szCs w:val="22"/>
        </w:rPr>
      </w:pPr>
    </w:p>
    <w:p w14:paraId="5020E262">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318AA200">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S100A2 Elisa Kit</w:t>
      </w:r>
    </w:p>
    <w:p w14:paraId="693428E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78–5000pg/ml</w:t>
      </w:r>
    </w:p>
    <w:p w14:paraId="46EBE9E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15.6pg/ml</w:t>
      </w:r>
    </w:p>
    <w:p w14:paraId="57F83F7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777312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EEE6A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23009E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319314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03B791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1AB267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4D21D0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60245F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2EAE33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458D44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ACFB4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5000.0</w:t>
            </w:r>
          </w:p>
        </w:tc>
        <w:tc>
          <w:tcPr>
            <w:tcW w:w="1036" w:type="dxa"/>
            <w:vAlign w:val="center"/>
          </w:tcPr>
          <w:p w14:paraId="1851B2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2500.0</w:t>
            </w:r>
          </w:p>
        </w:tc>
        <w:tc>
          <w:tcPr>
            <w:tcW w:w="1036" w:type="dxa"/>
            <w:vAlign w:val="center"/>
          </w:tcPr>
          <w:p w14:paraId="1F5DD0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1250.0</w:t>
            </w:r>
          </w:p>
        </w:tc>
        <w:tc>
          <w:tcPr>
            <w:tcW w:w="1036" w:type="dxa"/>
            <w:vAlign w:val="center"/>
          </w:tcPr>
          <w:p w14:paraId="70B9B7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625.0</w:t>
            </w:r>
          </w:p>
        </w:tc>
        <w:tc>
          <w:tcPr>
            <w:tcW w:w="1036" w:type="dxa"/>
            <w:vAlign w:val="center"/>
          </w:tcPr>
          <w:p w14:paraId="4D7071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6" w:type="dxa"/>
            <w:vAlign w:val="center"/>
          </w:tcPr>
          <w:p w14:paraId="75DF2F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156.25</w:t>
            </w:r>
          </w:p>
        </w:tc>
        <w:tc>
          <w:tcPr>
            <w:tcW w:w="1037" w:type="dxa"/>
            <w:vAlign w:val="center"/>
          </w:tcPr>
          <w:p w14:paraId="508092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78.0</w:t>
            </w:r>
          </w:p>
        </w:tc>
        <w:tc>
          <w:tcPr>
            <w:tcW w:w="1037" w:type="dxa"/>
            <w:vAlign w:val="center"/>
          </w:tcPr>
          <w:p w14:paraId="430F22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3A8A52A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6BEEE2A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2C76ACD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649CEDC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438902E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7B2BB66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746FE35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S100A2 (S100 calcium binding protein A2) is a protein coding gene. S100A2 related diseases include hairy stromal tumors and conjunctival intraepithelial tumors. The related pathways include p73 transcription factor network and vitamin D receptor pathway. Gene ontology (GO) annotations related to this gene include calcium binding and binding to the same protein. An important paralog of this gene is S100A4.</w:t>
      </w:r>
    </w:p>
    <w:p w14:paraId="3E2AD165">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17C8D5DE">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767ED79B">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6F9C74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1DDE23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6460A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69B362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21FD35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766E8F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3BC31700">
      <w:pPr>
        <w:rPr>
          <w:rFonts w:hint="default" w:ascii="Times New Roman" w:hAnsi="Times New Roman" w:cs="Times New Roman"/>
          <w:b/>
          <w:bCs/>
          <w:sz w:val="28"/>
          <w:szCs w:val="28"/>
        </w:rPr>
      </w:pPr>
    </w:p>
    <w:p w14:paraId="25C16DB4">
      <w:pPr>
        <w:rPr>
          <w:rFonts w:hint="default" w:ascii="Times New Roman" w:hAnsi="Times New Roman" w:cs="Times New Roman"/>
          <w:b/>
          <w:bCs/>
          <w:sz w:val="28"/>
          <w:szCs w:val="28"/>
        </w:rPr>
      </w:pPr>
    </w:p>
    <w:p w14:paraId="3408626A">
      <w:pPr>
        <w:rPr>
          <w:rFonts w:hint="default" w:ascii="Times New Roman" w:hAnsi="Times New Roman" w:cs="Times New Roman"/>
          <w:b/>
          <w:bCs/>
          <w:sz w:val="28"/>
          <w:szCs w:val="28"/>
        </w:rPr>
      </w:pPr>
    </w:p>
    <w:p w14:paraId="225620D9">
      <w:pPr>
        <w:rPr>
          <w:rFonts w:hint="default" w:ascii="Times New Roman" w:hAnsi="Times New Roman" w:cs="Times New Roman"/>
          <w:b/>
          <w:bCs/>
          <w:sz w:val="28"/>
          <w:szCs w:val="28"/>
        </w:rPr>
      </w:pPr>
    </w:p>
    <w:p w14:paraId="484A9872">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60D625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21F06E3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867EBB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02CD01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2269A41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334C19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6F64F0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379BEA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1F1176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1B0916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09466D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5AA734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64B45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386B20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362F92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30305D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735384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8AF5B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787B47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7227FA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704432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782607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5D3330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4901A1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C3850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E83CC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74041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AA549A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2585AAD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3593821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768110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27DCA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EE18F1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492655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0533E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61321F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8B6B2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BCF046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01E7DA1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7FD1F2A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021038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0E30E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012198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61EEAA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2068D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1DE2B1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5CE898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BC33C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38A42C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5DA7B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FF3C1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1AC4E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04701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71E69A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1AF304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003B51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40B184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1CD7A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008029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7EBE8A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000576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373A37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12495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535803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3668D7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23743F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349996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0CE2A9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0B7CD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54CB3B9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1CBF07B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7B33045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E61047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634183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EB000C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D344CD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6068827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6048905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761D0B7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332D2E3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4EFD82D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5109F0B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34592DF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4C704D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664FD70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0066919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535DB48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7CC435A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3EE502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39F020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1B9803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0EDE86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40CD6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82A29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5E1D5F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23134F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51D6D66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1BA4C63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3E29E6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0FB0A2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690156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12AEBB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1375AF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2D7FE5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35DAC85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023777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7231DF2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23AC27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4A99FE5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488CC57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3008ABF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7DCAB1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1B21DD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15E2CA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3CF952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5394FA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1258FC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69D976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5CB286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08D018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00581E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37EE33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138B4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3F6F33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8C037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4B9AB7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DE726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33840D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2B61D7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2CC338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0419A1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3A3E21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65AB4B3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728E822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4A0181D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23FBB3E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6FF24A4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0FC49ED5">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39D1BA2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0C2C039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4060FD5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564432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09E1F2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BDC938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34FC5E4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6417A0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6C70EB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0379F9B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6CCFF2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2878F1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7B998EA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C9C14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2D3F26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58AB852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B8235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0AA28E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3C8F6B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7DD183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4D5AA1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6939A3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4A855A3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21E578F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177E589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68E9536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CF69E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08EC18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09105B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E2B99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17EDE2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3CF6BEF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30F06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133579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53C0379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ABD29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18B1DE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373A6C5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DE6C3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5B2A6B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6B87A99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C09BE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687B50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61A3EBF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E6707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3B85C5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4474159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EB6513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733001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B1A26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5D8A89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16ACE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7362A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AF9E1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438C04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52A0B1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04AED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28406F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719F7E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C2647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2978F3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0A8B85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3AB0A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0C0BF5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30F902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F7713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1B7CB9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70B9AA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6C5D6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523701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187A61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9FA22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63B431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735E0F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E07D1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5E2350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4E6B25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8B8F7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44A578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40F7A8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CF37B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4A5384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3193CD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DDE7D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43F038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30E24BA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617AE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362BB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4C52C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F80F3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87530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7EB802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3650EA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2C690A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159E90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7C1507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4ABDE7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C2392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2883F5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074FD0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DE325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2E2B76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515F53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3F078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7AA20F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537202D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8367C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BA28F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F561E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5670D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63985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71D75C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623CE9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5F70D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74D697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1FFA13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E45E1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06CFB6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3C20BA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08A73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2D6DEB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53A308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3A71E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2CDAB2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3A4833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9B846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7D2FDA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16CB6D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B552A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1BF528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44D8AB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99371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077A9F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04DA95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37907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33CA68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78A1C7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DD223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5F95AD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2B9104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A6AF0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2FEFD6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7AF5C9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BFFB6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26886B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7D6017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F8C84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768717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4ADF99C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1836016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8A0BF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16998A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7CC919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7BD1C2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648EBC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23BC26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228872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A3001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5A4C41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40E781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F969B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641C66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502BDE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B0CB4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0FE03D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39E60B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04C5C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65920F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64B90B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7A35EA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4E9A62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3C9EA9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48B43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299ABB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2A0050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2AF05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07E441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6DA323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352BF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590B8A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2862CBE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4D65AF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2DDC8A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31F1A5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45D7CF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3273E1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03FDD1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448157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425B34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3FA5C4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5E681C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737F8D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3F01D2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1854C7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07914F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3E3FFC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5EAF7D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B8D104">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9D6FEE1">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9D6FEE1">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DEB643">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7831E257">
    <w:pPr>
      <w:pStyle w:val="6"/>
      <w:jc w:val="both"/>
    </w:pPr>
  </w:p>
  <w:p w14:paraId="798C48FE">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C8141E">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4DC21E">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BC81D28"/>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7147</Words>
  <Characters>10469</Characters>
  <Lines>251</Lines>
  <Paragraphs>70</Paragraphs>
  <TotalTime>0</TotalTime>
  <ScaleCrop>false</ScaleCrop>
  <LinksUpToDate>false</LinksUpToDate>
  <CharactersWithSpaces>10977</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2026-06-22T08:49:20Z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