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B8054">
      <w:pPr>
        <w:pStyle w:val="2"/>
        <w:bidi w:val="0"/>
        <w:jc w:val="center"/>
        <w:rPr>
          <w:rFonts w:hint="default" w:ascii="Times New Roman" w:hAnsi="Times New Roman" w:cs="Times New Roman"/>
          <w:b/>
          <w:bCs w:val="0"/>
          <w:sz w:val="36"/>
          <w:szCs w:val="36"/>
        </w:rPr>
      </w:pPr>
      <w:bookmarkStart w:id="0" w:name="_GoBack"/>
      <w:r>
        <w:rPr>
          <w:rFonts w:hint="eastAsia"/>
          <w:b/>
          <w:bCs/>
          <w:sz w:val="36"/>
          <w:szCs w:val="36"/>
          <w:lang w:val="en-US" w:eastAsia="zh-CN"/>
        </w:rPr>
        <w:t>Mouse</w:t>
      </w:r>
      <w:r>
        <w:rPr>
          <w:rFonts w:hint="eastAsia"/>
          <w:b/>
          <w:bCs/>
          <w:sz w:val="36"/>
          <w:szCs w:val="36"/>
        </w:rPr>
        <w:t xml:space="preserve"> </w:t>
      </w:r>
      <w:r>
        <w:rPr>
          <w:rFonts w:hint="eastAsia"/>
          <w:b/>
          <w:bCs/>
          <w:sz w:val="36"/>
          <w:szCs w:val="36"/>
          <w:lang w:val="en-US" w:eastAsia="zh-CN"/>
        </w:rPr>
        <w:t>MCPT1</w:t>
      </w:r>
      <w:r>
        <w:rPr>
          <w:rFonts w:hint="eastAsia"/>
          <w:b/>
          <w:bCs/>
          <w:sz w:val="36"/>
          <w:szCs w:val="36"/>
        </w:rPr>
        <w:t xml:space="preserve"> Elisa Kit</w:t>
      </w:r>
    </w:p>
    <w:bookmarkEnd w:id="0"/>
    <w:p w14:paraId="1C5184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w:t>
      </w:r>
      <w:r>
        <w:rPr>
          <w:rFonts w:hint="eastAsia"/>
          <w:lang w:val="en-US" w:eastAsia="zh-CN"/>
        </w:rPr>
        <w:t>.1</w:t>
      </w:r>
      <w:r>
        <w:rPr>
          <w:rFonts w:hint="eastAsia"/>
        </w:rPr>
        <w:t>-5000pg/ml</w:t>
      </w:r>
    </w:p>
    <w:p w14:paraId="31769D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w:t>
      </w:r>
      <w:r>
        <w:rPr>
          <w:rFonts w:hint="eastAsia"/>
          <w:lang w:val="en-US" w:eastAsia="zh-CN"/>
        </w:rPr>
        <w:t>14.2</w:t>
      </w:r>
      <w:r>
        <w:rPr>
          <w:rFonts w:hint="eastAsia"/>
        </w:rPr>
        <w:t>pg/ml</w:t>
      </w:r>
    </w:p>
    <w:p w14:paraId="3156B7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49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616A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5FE1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C41B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70A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C252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10C5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773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52F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68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FB6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5</w:t>
            </w:r>
            <w:r>
              <w:rPr>
                <w:rFonts w:hint="eastAsia"/>
              </w:rPr>
              <w:t>000.0</w:t>
            </w:r>
          </w:p>
        </w:tc>
        <w:tc>
          <w:tcPr>
            <w:tcW w:w="1134" w:type="dxa"/>
            <w:vAlign w:val="center"/>
          </w:tcPr>
          <w:p w14:paraId="1F501C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2</w:t>
            </w:r>
            <w:r>
              <w:rPr>
                <w:rFonts w:hint="eastAsia"/>
              </w:rPr>
              <w:t>500.0</w:t>
            </w:r>
          </w:p>
        </w:tc>
        <w:tc>
          <w:tcPr>
            <w:tcW w:w="1134" w:type="dxa"/>
            <w:vAlign w:val="center"/>
          </w:tcPr>
          <w:p w14:paraId="74829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1</w:t>
            </w:r>
            <w:r>
              <w:rPr>
                <w:rFonts w:hint="eastAsia"/>
              </w:rPr>
              <w:t>250.0</w:t>
            </w:r>
          </w:p>
        </w:tc>
        <w:tc>
          <w:tcPr>
            <w:tcW w:w="1134" w:type="dxa"/>
            <w:vAlign w:val="center"/>
          </w:tcPr>
          <w:p w14:paraId="32339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6</w:t>
            </w:r>
            <w:r>
              <w:rPr>
                <w:rFonts w:hint="eastAsia"/>
              </w:rPr>
              <w:t>25.0</w:t>
            </w:r>
          </w:p>
        </w:tc>
        <w:tc>
          <w:tcPr>
            <w:tcW w:w="1134" w:type="dxa"/>
            <w:vAlign w:val="center"/>
          </w:tcPr>
          <w:p w14:paraId="4B2A9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eastAsia="宋体" w:cs="Times New Roman"/>
                <w:lang w:val="en-US" w:eastAsia="zh-CN"/>
              </w:rPr>
            </w:pPr>
            <w:r>
              <w:rPr>
                <w:rFonts w:hint="eastAsia"/>
                <w:lang w:val="en-US" w:eastAsia="zh-CN"/>
              </w:rPr>
              <w:t>312.5</w:t>
            </w:r>
          </w:p>
        </w:tc>
        <w:tc>
          <w:tcPr>
            <w:tcW w:w="1134" w:type="dxa"/>
            <w:vAlign w:val="center"/>
          </w:tcPr>
          <w:p w14:paraId="47439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eastAsia="宋体" w:cs="Times New Roman"/>
                <w:lang w:val="en-US" w:eastAsia="zh-CN"/>
              </w:rPr>
            </w:pPr>
            <w:r>
              <w:rPr>
                <w:rFonts w:hint="eastAsia"/>
                <w:lang w:val="en-US" w:eastAsia="zh-CN"/>
              </w:rPr>
              <w:t>156.2</w:t>
            </w:r>
          </w:p>
        </w:tc>
        <w:tc>
          <w:tcPr>
            <w:tcW w:w="1134" w:type="dxa"/>
            <w:vAlign w:val="center"/>
          </w:tcPr>
          <w:p w14:paraId="14A622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eastAsia="宋体" w:cs="Times New Roman"/>
                <w:lang w:val="en-US" w:eastAsia="zh-CN"/>
              </w:rPr>
            </w:pPr>
            <w:r>
              <w:rPr>
                <w:rFonts w:hint="eastAsia"/>
                <w:lang w:val="en-US" w:eastAsia="zh-CN"/>
              </w:rPr>
              <w:t>78.1</w:t>
            </w:r>
          </w:p>
        </w:tc>
        <w:tc>
          <w:tcPr>
            <w:tcW w:w="1134" w:type="dxa"/>
            <w:vAlign w:val="center"/>
          </w:tcPr>
          <w:p w14:paraId="49302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428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6C34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EFAD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CDC7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051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9AE9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534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介：肥大细胞蛋白酶-1(mast cell protease 1，Mcpt-1)是一种糜烂性丝氨酸蛋白酶，属于肽酶家族 S1。它在肥大细胞中表达，并被认为在细胞外基质的降解、粘膜下腺体分泌的调节和血管活性肽的生成中发挥作用。在心脏和血管中，这种蛋白，而不是血管紧张素转换酶，主要负责将血管紧张素 I 转换为血管活性肽血管紧张素 II。血管紧张素 II 与血压控制和高血压、心脏肥大和心力衰竭的发病机制有关联。因此，这个基因产品是心血管疾病治疗的一个目标</w:t>
      </w:r>
      <w:r>
        <w:rPr>
          <w:rFonts w:hint="eastAsia" w:ascii="Times New Roman" w:hAnsi="Times New Roman" w:cs="Times New Roman"/>
          <w:lang w:eastAsia="zh-CN"/>
        </w:rPr>
        <w:t>。</w:t>
      </w:r>
    </w:p>
    <w:p w14:paraId="6896A966">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p>
    <w:p w14:paraId="20E2A5CE">
      <w:pPr>
        <w:ind w:firstLine="441" w:firstLineChars="0"/>
        <w:rPr>
          <w:rFonts w:hint="default" w:ascii="Times New Roman" w:hAnsi="Times New Roman" w:cs="Times New Roman"/>
        </w:rPr>
      </w:pPr>
    </w:p>
    <w:p w14:paraId="0D24E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4689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08F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7137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0407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17C2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57AA2F">
      <w:pPr>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br w:type="page"/>
      </w:r>
    </w:p>
    <w:p w14:paraId="74B7410A">
      <w:pP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2BA8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62E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0C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A42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B8F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CF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098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81D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58A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A3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99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3DC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9F8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6A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532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0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D8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FCC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D47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CA5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FF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91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8B9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8C3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43E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26E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42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7EF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ED3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240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835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57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2FD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A7E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580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1A7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7A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8A1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C52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CD6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D37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257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C8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037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4CA7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10E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7F7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470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2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94A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 显色液（A/B）</w:t>
            </w:r>
          </w:p>
          <w:p w14:paraId="60790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F6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4E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38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A0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CD3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229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F90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4A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83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C1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81F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B45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086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E0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959C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048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AB7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C6D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3725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A52F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7D64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5490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3102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6D7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p>
    <w:p w14:paraId="744E5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683F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40E7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F2CD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2E8D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B45D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0D1D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375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F3A0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3CC1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7B9F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D5D3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109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68C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2476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1F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p>
    <w:p w14:paraId="42E80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67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E19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8A6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1F2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160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67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8277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C66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89A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5B0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6D5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BB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9C8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0F9A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90FB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610B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 xml:space="preserve">应检查洗液瓶、蒸馏水瓶是否充足，废液瓶是否满瓶。在自检过程中注意观察洗液灌注是否通畅，排液是否通畅。在洗板过程中，应注意观察反应孔每孔是否灌满且无外溢，每孔吸水是否吸尽，并且要保证洗液在孔中放置的时间。 </w:t>
      </w:r>
    </w:p>
    <w:p w14:paraId="3F150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59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2F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077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9A4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FF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ECE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A8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 混合，避光备用，在储存和显色时均避免强光照射。</w:t>
      </w:r>
    </w:p>
    <w:p w14:paraId="4BF1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B1F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295775" cy="1353185"/>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8"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295775" cy="1353185"/>
                    </a:xfrm>
                    <a:prstGeom prst="rect">
                      <a:avLst/>
                    </a:prstGeom>
                  </pic:spPr>
                </pic:pic>
              </a:graphicData>
            </a:graphic>
          </wp:inline>
        </w:drawing>
      </w:r>
    </w:p>
    <w:p w14:paraId="10CF5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rPr>
      </w:pPr>
      <w:r>
        <w:rPr>
          <w:rFonts w:hint="default" w:ascii="Times New Roman" w:hAnsi="Times New Roman" w:eastAsia="宋体" w:cs="Times New Roman"/>
          <w:b/>
          <w:bCs/>
          <w:sz w:val="28"/>
          <w:szCs w:val="28"/>
          <w:lang w:val="en-US" w:eastAsia="zh-CN" w:bidi="ar-SA"/>
        </w:rPr>
        <w:t xml:space="preserve">检测流程： </w:t>
      </w:r>
    </w:p>
    <w:p w14:paraId="04E1ABED">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空白孔加入50μl标准品/样品稀释液，其余孔各对应加入标准品或待测样</w:t>
      </w:r>
      <w:r>
        <w:rPr>
          <w:rFonts w:hint="default" w:ascii="Times New Roman" w:hAnsi="Times New Roman" w:cs="Times New Roman"/>
          <w:lang w:val="en-US" w:eastAsia="zh-CN"/>
        </w:rPr>
        <w:t>品</w:t>
      </w:r>
      <w:r>
        <w:rPr>
          <w:rFonts w:hint="default" w:ascii="Times New Roman" w:hAnsi="Times New Roman" w:cs="Times New Roman"/>
        </w:rPr>
        <w:t>50μl，将酶标板用封板膜封好，轻轻混匀后置37℃，孵育30</w:t>
      </w:r>
      <w:r>
        <w:rPr>
          <w:rFonts w:hint="default" w:ascii="Times New Roman" w:hAnsi="Times New Roman" w:cs="Times New Roman"/>
          <w:lang w:val="en-US" w:eastAsia="zh-CN"/>
        </w:rPr>
        <w:t>min</w:t>
      </w:r>
      <w:r>
        <w:rPr>
          <w:rFonts w:hint="default" w:ascii="Times New Roman" w:hAnsi="Times New Roman" w:cs="Times New Roman"/>
        </w:rPr>
        <w:t xml:space="preserve">。 </w:t>
      </w:r>
    </w:p>
    <w:p w14:paraId="640460A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2、</w:t>
      </w:r>
      <w:r>
        <w:rPr>
          <w:rFonts w:hint="default" w:ascii="Times New Roman" w:hAnsi="Times New Roman" w:cs="Times New Roman"/>
        </w:rPr>
        <w:t>洗板</w:t>
      </w:r>
      <w:r>
        <w:rPr>
          <w:rFonts w:hint="default" w:ascii="Times New Roman" w:hAnsi="Times New Roman" w:cs="Times New Roman"/>
          <w:lang w:eastAsia="zh-CN"/>
        </w:rPr>
        <w:t>：</w:t>
      </w:r>
      <w:r>
        <w:rPr>
          <w:rFonts w:hint="default" w:ascii="Times New Roman" w:hAnsi="Times New Roman" w:cs="Times New Roman"/>
        </w:rPr>
        <w:t>用洗涤液（1×）将酶标板充分洗涤3次，每孔加入洗涤液300μl，每次</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388C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3、</w:t>
      </w:r>
      <w:r>
        <w:rPr>
          <w:rFonts w:hint="default" w:ascii="Times New Roman" w:hAnsi="Times New Roman" w:cs="Times New Roman"/>
        </w:rPr>
        <w:t>孵育抗体：空白孔加入100μl的标准品/样品稀释液，其余孔各加入检测抗体工作液 100μl，将酶标板用封板膜封好，轻轻混匀后置37℃，孵育30</w:t>
      </w:r>
      <w:r>
        <w:rPr>
          <w:rFonts w:hint="default" w:ascii="Times New Roman" w:hAnsi="Times New Roman" w:cs="Times New Roman"/>
          <w:lang w:val="en-US" w:eastAsia="zh-CN"/>
        </w:rPr>
        <w:t>min</w:t>
      </w:r>
      <w:r>
        <w:rPr>
          <w:rFonts w:hint="default" w:ascii="Times New Roman" w:hAnsi="Times New Roman" w:cs="Times New Roman"/>
        </w:rPr>
        <w:t xml:space="preserve">。 </w:t>
      </w:r>
    </w:p>
    <w:p w14:paraId="0DDA68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4、</w:t>
      </w:r>
      <w:r>
        <w:rPr>
          <w:rFonts w:hint="default" w:ascii="Times New Roman" w:hAnsi="Times New Roman" w:cs="Times New Roman"/>
        </w:rPr>
        <w:t>洗板</w:t>
      </w:r>
      <w:r>
        <w:rPr>
          <w:rFonts w:hint="default" w:ascii="Times New Roman" w:hAnsi="Times New Roman" w:cs="Times New Roman"/>
          <w:lang w:eastAsia="zh-CN"/>
        </w:rPr>
        <w:t>：</w:t>
      </w:r>
      <w:r>
        <w:rPr>
          <w:rFonts w:hint="default" w:ascii="Times New Roman" w:hAnsi="Times New Roman" w:cs="Times New Roman"/>
        </w:rPr>
        <w:t xml:space="preserve">同上。 </w:t>
      </w:r>
    </w:p>
    <w:p w14:paraId="098322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5、</w:t>
      </w:r>
      <w:r>
        <w:rPr>
          <w:rFonts w:hint="default" w:ascii="Times New Roman" w:hAnsi="Times New Roman" w:cs="Times New Roman"/>
        </w:rPr>
        <w:t>孵育SABC：空白孔加入100μl的SABC稀释液，其余孔各加入SABC工作液100μl，将酶标板用封板膜封好，轻轻混匀后置37℃，孵育30</w:t>
      </w:r>
      <w:r>
        <w:rPr>
          <w:rFonts w:hint="default" w:ascii="Times New Roman" w:hAnsi="Times New Roman" w:cs="Times New Roman"/>
          <w:lang w:val="en-US" w:eastAsia="zh-CN"/>
        </w:rPr>
        <w:t>min</w:t>
      </w:r>
      <w:r>
        <w:rPr>
          <w:rFonts w:hint="default" w:ascii="Times New Roman" w:hAnsi="Times New Roman" w:cs="Times New Roman"/>
        </w:rPr>
        <w:t>。</w:t>
      </w:r>
    </w:p>
    <w:p w14:paraId="7E3A45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6、</w:t>
      </w:r>
      <w:r>
        <w:rPr>
          <w:rFonts w:hint="default" w:ascii="Times New Roman" w:hAnsi="Times New Roman" w:cs="Times New Roman"/>
        </w:rPr>
        <w:t>洗板</w:t>
      </w:r>
      <w:r>
        <w:rPr>
          <w:rFonts w:hint="default" w:ascii="Times New Roman" w:hAnsi="Times New Roman" w:cs="Times New Roman"/>
          <w:lang w:eastAsia="zh-CN"/>
        </w:rPr>
        <w:t>：</w:t>
      </w:r>
      <w:r>
        <w:rPr>
          <w:rFonts w:hint="default" w:ascii="Times New Roman" w:hAnsi="Times New Roman" w:cs="Times New Roman"/>
        </w:rPr>
        <w:t>同上。</w:t>
      </w:r>
    </w:p>
    <w:p w14:paraId="00D3D3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7、</w:t>
      </w:r>
      <w:r>
        <w:rPr>
          <w:rFonts w:hint="default" w:ascii="Times New Roman" w:hAnsi="Times New Roman" w:cs="Times New Roman"/>
        </w:rPr>
        <w:t>显色：每孔加入提前配</w:t>
      </w:r>
      <w:r>
        <w:rPr>
          <w:rFonts w:hint="default" w:ascii="Times New Roman" w:hAnsi="Times New Roman" w:cs="Times New Roman"/>
          <w:lang w:val="en-US" w:eastAsia="zh-CN"/>
        </w:rPr>
        <w:t>制</w:t>
      </w:r>
      <w:r>
        <w:rPr>
          <w:rFonts w:hint="default" w:ascii="Times New Roman" w:hAnsi="Times New Roman" w:cs="Times New Roman"/>
        </w:rPr>
        <w:t>好的TMB混合液100μl，将酶标板用封板膜封好，轻轻混匀后置37℃，暗处反应10-20</w:t>
      </w:r>
      <w:r>
        <w:rPr>
          <w:rFonts w:hint="default" w:ascii="Times New Roman" w:hAnsi="Times New Roman" w:cs="Times New Roman"/>
          <w:lang w:val="en-US" w:eastAsia="zh-CN"/>
        </w:rPr>
        <w:t>min</w:t>
      </w:r>
      <w:r>
        <w:rPr>
          <w:rFonts w:hint="default" w:ascii="Times New Roman" w:hAnsi="Times New Roman" w:cs="Times New Roman"/>
        </w:rPr>
        <w:t xml:space="preserve">，反应结果为蓝色。 </w:t>
      </w:r>
    </w:p>
    <w:p w14:paraId="16F29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sz w:val="24"/>
          <w:szCs w:val="24"/>
          <w:lang w:val="en-US" w:eastAsia="zh-CN" w:bidi="ar-SA"/>
        </w:rPr>
        <w:t>8、</w:t>
      </w:r>
      <w:r>
        <w:rPr>
          <w:rFonts w:hint="default" w:ascii="Times New Roman" w:hAnsi="Times New Roman" w:cs="Times New Roman"/>
        </w:rPr>
        <w:t>终止反应：每孔加入50μl终止液，轻轻混匀，此时蓝色转为黄色，20</w:t>
      </w:r>
      <w:r>
        <w:rPr>
          <w:rFonts w:hint="default" w:ascii="Times New Roman" w:hAnsi="Times New Roman" w:cs="Times New Roman"/>
          <w:lang w:val="en-US" w:eastAsia="zh-CN"/>
        </w:rPr>
        <w:t>min</w:t>
      </w:r>
      <w:r>
        <w:rPr>
          <w:rFonts w:hint="default" w:ascii="Times New Roman" w:hAnsi="Times New Roman" w:cs="Times New Roman"/>
        </w:rPr>
        <w:t xml:space="preserve">内用酶标仪在450nm处测OD值。 </w:t>
      </w:r>
    </w:p>
    <w:p w14:paraId="22CD2D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9D0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孵育”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922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7B5A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p>
    <w:p w14:paraId="3D830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433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091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p>
    <w:p w14:paraId="0780C8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DD23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7200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1E73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2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767" w:type="dxa"/>
            <w:vAlign w:val="center"/>
          </w:tcPr>
          <w:p w14:paraId="67DD4D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9E5A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C3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67" w:type="dxa"/>
            <w:vAlign w:val="center"/>
          </w:tcPr>
          <w:p w14:paraId="1C6254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DBF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1C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2767" w:type="dxa"/>
            <w:vAlign w:val="center"/>
          </w:tcPr>
          <w:p w14:paraId="769462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B9C3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13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67" w:type="dxa"/>
            <w:vAlign w:val="center"/>
          </w:tcPr>
          <w:p w14:paraId="440E6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298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6B7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652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919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C12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 20 次，分别计算不同浓度样本的平均值及 SD 值，批内差</w:t>
      </w:r>
      <w:r>
        <w:rPr>
          <w:rFonts w:hint="default" w:ascii="Times New Roman" w:hAnsi="Times New Roman" w:cs="Times New Roman"/>
          <w:lang w:eastAsia="zh-CN"/>
        </w:rPr>
        <w:t>：</w:t>
      </w:r>
      <w:r>
        <w:rPr>
          <w:rFonts w:hint="default" w:ascii="Times New Roman" w:hAnsi="Times New Roman" w:cs="Times New Roman"/>
        </w:rPr>
        <w:t>CV&lt;9%。</w:t>
      </w:r>
    </w:p>
    <w:p w14:paraId="10160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B81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AEF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88E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 填写售后服务表格（网上下载填写），然后联系我公司技术支持为您解决问题，同时您也可以参考以下资料</w:t>
      </w:r>
      <w:r>
        <w:rPr>
          <w:rFonts w:hint="default" w:ascii="Times New Roman" w:hAnsi="Times New Roman" w:cs="Times New Roman"/>
          <w:lang w:eastAsia="zh-CN"/>
        </w:rPr>
        <w:t>：</w:t>
      </w:r>
    </w:p>
    <w:p w14:paraId="0FBE8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14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0"/>
        <w:gridCol w:w="5980"/>
      </w:tblGrid>
      <w:tr w14:paraId="0A30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25F9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5980" w:type="dxa"/>
            <w:vAlign w:val="center"/>
          </w:tcPr>
          <w:p w14:paraId="22F1F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28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24E9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5980" w:type="dxa"/>
            <w:vAlign w:val="center"/>
          </w:tcPr>
          <w:p w14:paraId="66B62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 ，检查移液器及吸头 ，确认是否进行正确稀释。</w:t>
            </w:r>
          </w:p>
        </w:tc>
      </w:tr>
      <w:tr w14:paraId="0940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D2D1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5980" w:type="dxa"/>
            <w:vAlign w:val="center"/>
          </w:tcPr>
          <w:p w14:paraId="1CCEF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20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A9B2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5980" w:type="dxa"/>
            <w:vAlign w:val="center"/>
          </w:tcPr>
          <w:p w14:paraId="1617D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41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3B85A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5980" w:type="dxa"/>
            <w:vAlign w:val="center"/>
          </w:tcPr>
          <w:p w14:paraId="47234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D4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36DF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5980" w:type="dxa"/>
            <w:vAlign w:val="center"/>
          </w:tcPr>
          <w:p w14:paraId="06A6D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16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13EA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5980" w:type="dxa"/>
            <w:vAlign w:val="center"/>
          </w:tcPr>
          <w:p w14:paraId="75B9C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789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18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0"/>
        <w:gridCol w:w="6020"/>
      </w:tblGrid>
      <w:tr w14:paraId="1EA5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39F73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020" w:type="dxa"/>
            <w:vAlign w:val="center"/>
          </w:tcPr>
          <w:p w14:paraId="2D41B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51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7EFE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020" w:type="dxa"/>
            <w:vAlign w:val="center"/>
          </w:tcPr>
          <w:p w14:paraId="4BC68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95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AF1D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020" w:type="dxa"/>
            <w:vAlign w:val="center"/>
          </w:tcPr>
          <w:p w14:paraId="3AB7B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50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DED9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020" w:type="dxa"/>
            <w:vAlign w:val="center"/>
          </w:tcPr>
          <w:p w14:paraId="2E9AC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75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C06F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020" w:type="dxa"/>
            <w:vAlign w:val="center"/>
          </w:tcPr>
          <w:p w14:paraId="7658A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21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C05A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020" w:type="dxa"/>
            <w:vAlign w:val="center"/>
          </w:tcPr>
          <w:p w14:paraId="2AE2B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FD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C1DF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020" w:type="dxa"/>
            <w:vAlign w:val="center"/>
          </w:tcPr>
          <w:p w14:paraId="57F71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前应处于室温，或试剂的实验方案所建议的温度。</w:t>
            </w:r>
          </w:p>
        </w:tc>
      </w:tr>
      <w:tr w14:paraId="5F96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048F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020" w:type="dxa"/>
            <w:vAlign w:val="center"/>
          </w:tcPr>
          <w:p w14:paraId="04849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5B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97EC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020" w:type="dxa"/>
            <w:vAlign w:val="center"/>
          </w:tcPr>
          <w:p w14:paraId="792C6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FC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BCA9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020" w:type="dxa"/>
            <w:vAlign w:val="center"/>
          </w:tcPr>
          <w:p w14:paraId="5C9B8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2C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4D571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020" w:type="dxa"/>
            <w:vAlign w:val="center"/>
          </w:tcPr>
          <w:p w14:paraId="2EABD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FD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B739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020" w:type="dxa"/>
            <w:vAlign w:val="center"/>
          </w:tcPr>
          <w:p w14:paraId="2A4B6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CF8E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70"/>
        <w:gridCol w:w="6020"/>
      </w:tblGrid>
      <w:tr w14:paraId="5C61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170" w:type="dxa"/>
            <w:vAlign w:val="center"/>
          </w:tcPr>
          <w:p w14:paraId="38122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020" w:type="dxa"/>
            <w:vAlign w:val="center"/>
          </w:tcPr>
          <w:p w14:paraId="65AE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BA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vAlign w:val="center"/>
          </w:tcPr>
          <w:p w14:paraId="7E10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020" w:type="dxa"/>
            <w:vAlign w:val="center"/>
          </w:tcPr>
          <w:p w14:paraId="799A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00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255B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020" w:type="dxa"/>
            <w:tcBorders>
              <w:top w:val="single" w:color="auto" w:sz="4" w:space="0"/>
              <w:left w:val="single" w:color="auto" w:sz="4" w:space="0"/>
              <w:bottom w:val="single" w:color="auto" w:sz="4" w:space="0"/>
              <w:right w:val="single" w:color="auto" w:sz="4" w:space="0"/>
            </w:tcBorders>
            <w:vAlign w:val="center"/>
          </w:tcPr>
          <w:p w14:paraId="0F1F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CA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42D1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020" w:type="dxa"/>
            <w:tcBorders>
              <w:top w:val="single" w:color="auto" w:sz="4" w:space="0"/>
              <w:left w:val="single" w:color="auto" w:sz="4" w:space="0"/>
              <w:bottom w:val="single" w:color="auto" w:sz="4" w:space="0"/>
              <w:right w:val="single" w:color="auto" w:sz="4" w:space="0"/>
            </w:tcBorders>
            <w:vAlign w:val="center"/>
          </w:tcPr>
          <w:p w14:paraId="5762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B0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694A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020" w:type="dxa"/>
            <w:tcBorders>
              <w:top w:val="single" w:color="auto" w:sz="4" w:space="0"/>
              <w:left w:val="single" w:color="auto" w:sz="4" w:space="0"/>
              <w:bottom w:val="single" w:color="auto" w:sz="4" w:space="0"/>
              <w:right w:val="single" w:color="auto" w:sz="4" w:space="0"/>
            </w:tcBorders>
            <w:vAlign w:val="center"/>
          </w:tcPr>
          <w:p w14:paraId="6BF0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F7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66970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020" w:type="dxa"/>
            <w:tcBorders>
              <w:top w:val="single" w:color="auto" w:sz="4" w:space="0"/>
              <w:left w:val="single" w:color="auto" w:sz="4" w:space="0"/>
              <w:bottom w:val="single" w:color="auto" w:sz="4" w:space="0"/>
              <w:right w:val="single" w:color="auto" w:sz="4" w:space="0"/>
            </w:tcBorders>
            <w:vAlign w:val="center"/>
          </w:tcPr>
          <w:p w14:paraId="24D4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3E99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16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0"/>
        <w:gridCol w:w="6000"/>
      </w:tblGrid>
      <w:tr w14:paraId="57C7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4763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000" w:type="dxa"/>
            <w:vAlign w:val="center"/>
          </w:tcPr>
          <w:p w14:paraId="2F83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5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CB7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000" w:type="dxa"/>
            <w:vAlign w:val="center"/>
          </w:tcPr>
          <w:p w14:paraId="7BEC9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AB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5121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000" w:type="dxa"/>
            <w:vAlign w:val="center"/>
          </w:tcPr>
          <w:p w14:paraId="3E37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52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0B9F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000" w:type="dxa"/>
            <w:vAlign w:val="center"/>
          </w:tcPr>
          <w:p w14:paraId="3B66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9A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51F6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000" w:type="dxa"/>
            <w:vAlign w:val="center"/>
          </w:tcPr>
          <w:p w14:paraId="588D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99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C65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000" w:type="dxa"/>
            <w:vAlign w:val="center"/>
          </w:tcPr>
          <w:p w14:paraId="23D0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31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5CB2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000" w:type="dxa"/>
            <w:vAlign w:val="center"/>
          </w:tcPr>
          <w:p w14:paraId="044D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67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672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000" w:type="dxa"/>
            <w:vAlign w:val="center"/>
          </w:tcPr>
          <w:p w14:paraId="15E2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42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753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000" w:type="dxa"/>
            <w:vAlign w:val="center"/>
          </w:tcPr>
          <w:p w14:paraId="5394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44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A5C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000" w:type="dxa"/>
            <w:vAlign w:val="center"/>
          </w:tcPr>
          <w:p w14:paraId="2664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05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A13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000" w:type="dxa"/>
            <w:vAlign w:val="center"/>
          </w:tcPr>
          <w:p w14:paraId="29CB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6D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54E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000" w:type="dxa"/>
            <w:vAlign w:val="center"/>
          </w:tcPr>
          <w:p w14:paraId="6DF8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47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7E0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000" w:type="dxa"/>
            <w:vAlign w:val="center"/>
          </w:tcPr>
          <w:p w14:paraId="5FA4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32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A2F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000" w:type="dxa"/>
            <w:vAlign w:val="center"/>
          </w:tcPr>
          <w:p w14:paraId="7B29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E0F8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p>
    <w:tbl>
      <w:tblPr>
        <w:tblStyle w:val="8"/>
        <w:tblW w:w="9149"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29"/>
        <w:gridCol w:w="6020"/>
      </w:tblGrid>
      <w:tr w14:paraId="69C3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7DDC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020" w:type="dxa"/>
            <w:vAlign w:val="center"/>
          </w:tcPr>
          <w:p w14:paraId="283C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F6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3BDE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020" w:type="dxa"/>
            <w:vAlign w:val="center"/>
          </w:tcPr>
          <w:p w14:paraId="2BF5B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56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21F3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020" w:type="dxa"/>
            <w:vAlign w:val="center"/>
          </w:tcPr>
          <w:p w14:paraId="5B2E3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65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7E9A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020" w:type="dxa"/>
            <w:vAlign w:val="center"/>
          </w:tcPr>
          <w:p w14:paraId="16D3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4F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12D0B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020" w:type="dxa"/>
            <w:vAlign w:val="center"/>
          </w:tcPr>
          <w:p w14:paraId="01A5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A1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015F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020" w:type="dxa"/>
            <w:vAlign w:val="center"/>
          </w:tcPr>
          <w:p w14:paraId="3D5D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31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7535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020" w:type="dxa"/>
            <w:vAlign w:val="center"/>
          </w:tcPr>
          <w:p w14:paraId="7846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对于没有验证过的样品种属，检测信号可能减弱或没有。使用验证过的样品类型作为阳性对照同时进行检测。</w:t>
            </w:r>
          </w:p>
        </w:tc>
      </w:tr>
      <w:tr w14:paraId="547E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110D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020" w:type="dxa"/>
            <w:vAlign w:val="center"/>
          </w:tcPr>
          <w:p w14:paraId="479C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DB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3ABE0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020" w:type="dxa"/>
            <w:vAlign w:val="center"/>
          </w:tcPr>
          <w:p w14:paraId="1F2D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EA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091AF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020" w:type="dxa"/>
            <w:vAlign w:val="center"/>
          </w:tcPr>
          <w:p w14:paraId="75733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EF0C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A91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75E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C97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4AD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845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03C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A7E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检测限、灵敏度以及显色时间等，请依据试剂盒内说明书为准，网站电子版说明书仅作参考。</w:t>
      </w:r>
    </w:p>
    <w:p w14:paraId="64E6B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BF2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CD5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AD3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4F1E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2CC8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7A2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B1E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054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AAFFF5">
      <w:pPr>
        <w:rPr>
          <w:rFonts w:hint="default" w:ascii="Times New Roman" w:hAnsi="Times New Roman" w:cs="Times New Roman"/>
        </w:rPr>
      </w:pP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493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80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7880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4621">
    <w:pPr>
      <w:pStyle w:val="6"/>
      <w:jc w:val="both"/>
      <w:rPr>
        <w:u w:val="single"/>
      </w:rPr>
    </w:pPr>
    <w:r>
      <w:drawing>
        <wp:anchor distT="0" distB="0" distL="114300" distR="114300" simplePos="0" relativeHeight="251661312"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E1988D">
    <w:pPr>
      <w:pStyle w:val="6"/>
      <w:jc w:val="both"/>
    </w:pPr>
  </w:p>
  <w:p w14:paraId="5C5720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D8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BC12C">
    <w:pPr>
      <w:pStyle w:val="6"/>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1">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70C30F3"/>
    <w:multiLevelType w:val="multilevel"/>
    <w:tmpl w:val="570C30F3"/>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4E5A5E"/>
    <w:rsid w:val="19D01498"/>
    <w:rsid w:val="1D4961E3"/>
    <w:rsid w:val="1E3D34A8"/>
    <w:rsid w:val="20E406FC"/>
    <w:rsid w:val="21090163"/>
    <w:rsid w:val="214E5B76"/>
    <w:rsid w:val="252C3E9D"/>
    <w:rsid w:val="253E6D56"/>
    <w:rsid w:val="25B90B7D"/>
    <w:rsid w:val="274F43F6"/>
    <w:rsid w:val="28A8200F"/>
    <w:rsid w:val="2A3933FE"/>
    <w:rsid w:val="2A7C3754"/>
    <w:rsid w:val="2AFF455F"/>
    <w:rsid w:val="2BE61D13"/>
    <w:rsid w:val="2DAD2928"/>
    <w:rsid w:val="2EDC696B"/>
    <w:rsid w:val="300D1AF8"/>
    <w:rsid w:val="3279085F"/>
    <w:rsid w:val="32BF0681"/>
    <w:rsid w:val="34A9783B"/>
    <w:rsid w:val="3ACF6C5F"/>
    <w:rsid w:val="3E476FA1"/>
    <w:rsid w:val="403B1A92"/>
    <w:rsid w:val="4050563F"/>
    <w:rsid w:val="43140575"/>
    <w:rsid w:val="45A831F7"/>
    <w:rsid w:val="4A33079C"/>
    <w:rsid w:val="4F895E47"/>
    <w:rsid w:val="4FB1539E"/>
    <w:rsid w:val="505B403D"/>
    <w:rsid w:val="5219622B"/>
    <w:rsid w:val="52B76527"/>
    <w:rsid w:val="535C5873"/>
    <w:rsid w:val="53B27C58"/>
    <w:rsid w:val="5560066F"/>
    <w:rsid w:val="560E70A6"/>
    <w:rsid w:val="57204800"/>
    <w:rsid w:val="572925FA"/>
    <w:rsid w:val="5A655FE8"/>
    <w:rsid w:val="5AFB20BF"/>
    <w:rsid w:val="5C335AB8"/>
    <w:rsid w:val="5FAD1354"/>
    <w:rsid w:val="5FC12487"/>
    <w:rsid w:val="61D1606B"/>
    <w:rsid w:val="682F7E10"/>
    <w:rsid w:val="6BB6367C"/>
    <w:rsid w:val="6FC565D0"/>
    <w:rsid w:val="72A72905"/>
    <w:rsid w:val="73AC5738"/>
    <w:rsid w:val="7835726A"/>
    <w:rsid w:val="789E22CF"/>
    <w:rsid w:val="794329F9"/>
    <w:rsid w:val="79725A1A"/>
    <w:rsid w:val="7AFA1921"/>
    <w:rsid w:val="7D376633"/>
    <w:rsid w:val="DED448F7"/>
    <w:rsid w:val="FEF7C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6721</Words>
  <Characters>7755</Characters>
  <Lines>251</Lines>
  <Paragraphs>70</Paragraphs>
  <TotalTime>11</TotalTime>
  <ScaleCrop>false</ScaleCrop>
  <LinksUpToDate>false</LinksUpToDate>
  <CharactersWithSpaces>7850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2023-01-05T03:53:00Z</dcterms:created>
  <dc:creator>admin</dc:creator>
  <cp:lastModifiedBy>园园</cp:lastModifiedBy>
  <cp:lastPrinted>2023-01-05T05:48:00Z</cp:lastPrinted>
  <dcterms:modified xsi:type="dcterms:W3CDTF">2026-05-28T06:01:49Z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3879065F4A1A4F858D09A276A99374AA_13</vt:lpwstr>
  </property>
  <property fmtid="{D5CDD505-2E9C-101B-9397-08002B2CF9AE}" pid="4" name="KSOTemplateDocerSaveRecord">
    <vt:lpwstr>eyJoZGlkIjoiZjlhYmMwNDE4ZjgyYTdjMjM5M2UxNWJmNGRlZjNlYTgiLCJ1c2VySWQiOiIzMTY4MDkyMjEifQ==</vt:lpwstr>
  </property>
</Properties>
</file>