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B2CAA">
      <w:pPr>
        <w:pStyle w:val="2"/>
        <w:bidi w:val="0"/>
        <w:jc w:val="center"/>
        <w:rPr>
          <w:rFonts w:hint="default" w:ascii="Times New Roman" w:hAnsi="Times New Roman" w:cs="Times New Roman"/>
          <w:b/>
          <w:bCs w:val="0"/>
          <w:sz w:val="36"/>
          <w:szCs w:val="36"/>
        </w:rPr>
      </w:pPr>
      <w:r>
        <w:rPr>
          <w:rFonts w:hint="eastAsia"/>
          <w:b/>
          <w:bCs/>
          <w:sz w:val="36"/>
          <w:szCs w:val="36"/>
        </w:rPr>
        <w:t>Rat Amphiregulin/AR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394D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CDC20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C42B1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AFAD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F536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4C89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0D7EA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21E2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B305A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FF1A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3F2F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C3DA3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9B67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5DF1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4750A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9C3F2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A959D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52F52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2FA0A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D63E1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4BA24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0CE0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0FCC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A03A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8A11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CA6B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59F6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B70F2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双调蛋白，也称为AREG，是一种由AREG基因编码的蛋白质。该基因编码的蛋白质是表皮生长因子家族的成员。双调蛋白与足趾表皮生长因子（EGF）和转化生长因子α（TGFα）有关。该蛋白与表皮生长因子受体相互作用，促进正常上皮细胞的生长。已经发现，基底角质形成细胞中双调蛋白的转基因整合和随后的表达与银屑病样皮肤表型相关，其表达与典型的Th2细胞因子平行增加。双调蛋白也是雌激素功能的重要旁分泌介质，特别是青春期诱导的导管延长所需的雌激素功能，但在任何早期或后期发育阶段都不需要，它可以增强对线虫的抗性。</w:t>
      </w:r>
    </w:p>
    <w:p w14:paraId="49B6D3CB">
      <w:pPr>
        <w:ind w:firstLine="441" w:firstLineChars="0"/>
        <w:rPr>
          <w:rFonts w:hint="default" w:ascii="Times New Roman" w:hAnsi="Times New Roman" w:cs="Times New Roman"/>
        </w:rPr>
      </w:pPr>
    </w:p>
    <w:p w14:paraId="504929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5139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AC067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48BF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E69F8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706A3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599AE7C">
      <w:pPr>
        <w:rPr>
          <w:rFonts w:hint="default" w:ascii="Times New Roman" w:hAnsi="Times New Roman" w:cs="Times New Roman"/>
        </w:rPr>
      </w:pPr>
      <w:r>
        <w:rPr>
          <w:rFonts w:hint="default" w:ascii="Times New Roman" w:hAnsi="Times New Roman" w:cs="Times New Roman"/>
        </w:rPr>
        <w:br w:type="page"/>
      </w:r>
    </w:p>
    <w:p w14:paraId="0A6A4C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0B10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E62F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A6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A65C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B84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15B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2E27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908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E6C9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88A1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BF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8A9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588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397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7F0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B008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DD1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835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6F4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330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15A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A70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B4F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C77B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91A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A6A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6DB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D9B2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7FB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532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ABF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4C3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939D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4E8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CCA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408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FDA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C5F8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2BBA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B54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CF2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CC0A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E8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381C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784C5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B373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744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14F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7E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1DF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7BAF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4C7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82C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3732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A6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AE4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A02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BDF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E8B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597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CE9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FEC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B42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561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1D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9BE55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2DC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C72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150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E069D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D936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FF85F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0C1E0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DC2301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4C5CE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4749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7353A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2A89E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B60B4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F242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41D9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1954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76F6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0744F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27F66D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FDAE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0A86A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F128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84D40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651C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48B4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6C9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6F7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92D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F27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EF3F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F59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C18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D3C4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C866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24EA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31F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22B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267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AC7A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D4B1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276A5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92D3F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535B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01C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6DA3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3296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3EB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333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72F0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A73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431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5C3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A28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8152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AD4D9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50BB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DA1EC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09459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1914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D0A58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5F5BB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F5B40A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F896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27F5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20CF6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6CD7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51E8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221C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B373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4DC22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E60B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CFB248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46F4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91525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258DA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7611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4738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023D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17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EE01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A0D43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164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1740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58899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2EEF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C44F1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972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6D808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D1ED0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EE632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1995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435F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282C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838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C7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36D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10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DD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B760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61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480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A651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AC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2F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F97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B5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B2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82C2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61A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50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0431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CAB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05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C66C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E2C90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C8D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14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D71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79A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180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17F8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01E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80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EA6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CCF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B0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88B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9C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84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99C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35A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59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95E1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4A7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E3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37B2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282C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8B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CC73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8FE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A4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431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F6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0F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30B1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E282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90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15B1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15D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71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EF3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4131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36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76E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2A4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D7A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BC3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203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F83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58E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618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5F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765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EDB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4E5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6EC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A17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877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05F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8E8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59987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33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E9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A6B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AD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31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CA5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BE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51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9D2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95C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99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6DB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6E45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CD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EEB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083D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8A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78D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0B2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20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F50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64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A5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8F2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D259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99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2CB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997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E8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C6A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DE92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3B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BEFE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B4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1A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5D19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97B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BB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91F5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22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59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79D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A82E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6462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8B6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E6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3B1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DC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B5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01B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B2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F3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C504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324A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66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9C3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150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72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423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E6B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FC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DF5F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5FC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C1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30C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E9E8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15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D4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DE9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A9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6E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5E5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B65F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05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120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5F8EA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07722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A98F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D486C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BAB1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635EE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16AD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D741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FF114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4FCE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62D9D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3D26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4536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A86C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CB9C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F941B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E63CB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461C78A">
      <w:pPr>
        <w:rPr>
          <w:rFonts w:hint="default" w:ascii="Times New Roman" w:hAnsi="Times New Roman" w:cs="Times New Roman"/>
          <w:sz w:val="22"/>
          <w:szCs w:val="22"/>
        </w:rPr>
      </w:pPr>
    </w:p>
    <w:p w14:paraId="73A9532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5BBA4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Amphiregulin/AR Elisa Kit</w:t>
      </w:r>
    </w:p>
    <w:p w14:paraId="24F227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388A1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EA53B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E4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F03E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A91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F0C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F92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279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654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6A2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B36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83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233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2090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B251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3C72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3A9E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B3A8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2C47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0882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0909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2B1CC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A932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AA82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8C358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2A972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B6678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Amphiregulin, also known as AREG, is a protein that is encoded by the AREG gene. The protein encoded by this gene is a member of the epidermal growth factor family. Amphiregulin is related to toepidermal growth factor(EGF) and transforming growth factor alpha(TGF-alpha). This protein interacts with the epidermal growth factor receptor to promote the growth of normal epithelial cells. It has been found that transgene integration and subsequent expression of Amphiregulin in basal keratinocytes correlated with a psoriasis-like skin phenotype, and its expression was increased in parallel with typical Th2 cytokines. Amphiregulin is also an important paracrine mediator of estrogen function specifically required for puberty-induced ductal elongation but not for any earlier or later developmental stages</w:t>
      </w:r>
      <w:r>
        <w:rPr>
          <w:rFonts w:hint="eastAsia"/>
          <w:lang w:val="en-US" w:eastAsia="zh-CN"/>
        </w:rPr>
        <w:t>.</w:t>
      </w:r>
    </w:p>
    <w:p w14:paraId="4E108C7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71FCC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F27CE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7FD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0F25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B4A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D9B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815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982F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A1C0CB">
      <w:pPr>
        <w:rPr>
          <w:rFonts w:hint="default" w:ascii="Times New Roman" w:hAnsi="Times New Roman" w:cs="Times New Roman"/>
          <w:b/>
          <w:bCs/>
          <w:sz w:val="28"/>
          <w:szCs w:val="28"/>
        </w:rPr>
      </w:pPr>
    </w:p>
    <w:p w14:paraId="40509E67">
      <w:pPr>
        <w:rPr>
          <w:rFonts w:hint="default" w:ascii="Times New Roman" w:hAnsi="Times New Roman" w:cs="Times New Roman"/>
          <w:b/>
          <w:bCs/>
          <w:sz w:val="28"/>
          <w:szCs w:val="28"/>
        </w:rPr>
      </w:pPr>
    </w:p>
    <w:p w14:paraId="292E49A9">
      <w:pPr>
        <w:rPr>
          <w:rFonts w:hint="default" w:ascii="Times New Roman" w:hAnsi="Times New Roman" w:cs="Times New Roman"/>
          <w:b/>
          <w:bCs/>
          <w:sz w:val="28"/>
          <w:szCs w:val="28"/>
        </w:rPr>
      </w:pPr>
    </w:p>
    <w:p w14:paraId="3C9BA3CA">
      <w:pPr>
        <w:rPr>
          <w:rFonts w:hint="default" w:ascii="Times New Roman" w:hAnsi="Times New Roman" w:cs="Times New Roman"/>
          <w:b/>
          <w:bCs/>
          <w:sz w:val="28"/>
          <w:szCs w:val="28"/>
        </w:rPr>
      </w:pPr>
    </w:p>
    <w:p w14:paraId="25A75BF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11A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C0E1C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A29D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BF2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AA74B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516A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1C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7C4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FEF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9464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1D8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BBD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4DA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E6A5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B76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414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404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5D5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FB72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B737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9E6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1B3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4043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A682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330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A7A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9CF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9354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AA6D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963E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B408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78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7111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208D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80D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98F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51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EB34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B1A79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7BC3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C7C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B52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C909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D22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EDE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7058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658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E34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846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CE6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E3C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28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1E2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B21F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7FFF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6E5D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C0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39C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56C6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A31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298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424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1BC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C01F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689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DFFF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341E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F39A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41BD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0A5D5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501C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A3E9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19A4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7FC2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3815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BF15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D3E3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C93E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15F93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11D9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22FF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D0F8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BBDE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217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35EC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5C64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B183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EA2D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150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1ED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316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1D9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C53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223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77A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1097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56A9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B774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35B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859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0FAA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487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A3C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DA0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5AAE9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5468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E963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406A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260C5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7726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F678B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9456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9CC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EAD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4DB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A32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0276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4A1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40D7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C18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18D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41E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A30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3623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711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B4B9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9F5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FE6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3BC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BE53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B4AC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5C3A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851C6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2C81B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1A0A7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B08B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57193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012A20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2F8AC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A0C98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5335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D727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BBF5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C20C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2CA3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ACBF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23B1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02EA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982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3E5B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790EE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2F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C486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1DD1F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423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3810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EBC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64C1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A2DB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D64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3DD4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1232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1E1D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6476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5EF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1E0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BC2A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B67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49E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D7D73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58E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584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11D93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D64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4F0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5E395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BA1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2D5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1283D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A41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E4C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B850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664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EDFF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9A26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5E52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0AF0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E0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528A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454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57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46F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EEB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1B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7F2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263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B48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3E2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9157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66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1BA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65D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05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B05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131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812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0AF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553F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30A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B87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BAEE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64B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988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75E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A7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E54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1E6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479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CCC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99E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8BC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3B7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240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4CD1D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F7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755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47A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31A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1E9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B5A0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32A0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CE47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FBE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9C9F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1631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EDA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737F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3C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DC6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97AA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3DB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924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FE5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613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47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EAE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2CF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6BC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D1A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E21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62D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3B6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E62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20F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46F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453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66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2A2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7E40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931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D36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489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E48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CE3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E83A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F0F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E68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0790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4B3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6CE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AF4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A48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34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EE1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41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53A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9C2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AE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AEC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6BF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54A1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A53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D521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EF4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EED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F5A1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DE4DD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935DF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F5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B255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F64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C1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3F31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66E3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BB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D7A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CD04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95F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81E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E24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5AA9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262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A8CC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1A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BAB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FFFA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44B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8799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87C2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F1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4AA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3B2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FC2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40C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39CE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6BF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B99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149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A662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B51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07EC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123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8FF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3499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575C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836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592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99B0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01A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B93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4D6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145F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ared with other manufacturers' similar kits or products with different methods to detect the same protein of interest, so inconsistencies in the test results are not excluded. </w:t>
      </w:r>
    </w:p>
    <w:p w14:paraId="1D780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F407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0F5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7F3F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F588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FF588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1AC7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1E371AF">
    <w:pPr>
      <w:pStyle w:val="6"/>
      <w:jc w:val="both"/>
    </w:pPr>
  </w:p>
  <w:p w14:paraId="6B85558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849C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1C84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6C3FF5"/>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8422</Words>
  <Characters>16547</Characters>
  <Lines>251</Lines>
  <Paragraphs>70</Paragraphs>
  <TotalTime>0</TotalTime>
  <ScaleCrop>false</ScaleCrop>
  <LinksUpToDate>false</LinksUpToDate>
  <CharactersWithSpaces>18172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2026-06-02T06:10:12Z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