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6F452">
      <w:pPr>
        <w:pStyle w:val="2"/>
        <w:bidi w:val="0"/>
        <w:jc w:val="center"/>
        <w:rPr>
          <w:rFonts w:hint="default" w:ascii="Times New Roman" w:hAnsi="Times New Roman" w:cs="Times New Roman"/>
          <w:b/>
          <w:bCs w:val="0"/>
          <w:sz w:val="36"/>
          <w:szCs w:val="36"/>
        </w:rPr>
      </w:pPr>
      <w:r>
        <w:rPr>
          <w:rFonts w:hint="eastAsia"/>
          <w:b/>
          <w:bCs/>
          <w:sz w:val="36"/>
          <w:szCs w:val="36"/>
        </w:rPr>
        <w:t>Rat CD320/8D6A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6F3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B82B8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B070F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8E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6D31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6DFC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6C78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1CB8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A577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522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B593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B5BE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86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D833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95FEB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5BB7B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D7F86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5FFA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AD8B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C53F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D27AD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9FBB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E1E6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F76D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89DB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1DB0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3F49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64E5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320（分化簇320），也称为8D6A或TCBLR，是一种人类基因。该基因编码在细胞表面表达的跨钴胺受体。它介导细胞摄取跨钴胺结合的钴胺素（维生素B12），CD320表达增强B细胞增殖和免疫球蛋白分泌。该基因突变与甲基丙二酸尿症有关。已经发现，CD320信号通路的拮抗剂可能会抑制滤泡性淋巴瘤或其他转移到淋巴滤泡的肿瘤的生长。CD320也是TCN2结合钴胺素摄取的特异性受体。</w:t>
      </w:r>
    </w:p>
    <w:p w14:paraId="2AB8FF41">
      <w:pPr>
        <w:ind w:firstLine="441" w:firstLineChars="0"/>
        <w:rPr>
          <w:rFonts w:hint="default" w:ascii="Times New Roman" w:hAnsi="Times New Roman" w:cs="Times New Roman"/>
        </w:rPr>
      </w:pPr>
    </w:p>
    <w:p w14:paraId="547D8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0368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71F8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5C79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5E3D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9152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9EE3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EDCF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4EA171">
      <w:pPr>
        <w:rPr>
          <w:rFonts w:hint="default" w:ascii="Times New Roman" w:hAnsi="Times New Roman" w:cs="Times New Roman"/>
        </w:rPr>
      </w:pPr>
      <w:r>
        <w:rPr>
          <w:rFonts w:hint="default" w:ascii="Times New Roman" w:hAnsi="Times New Roman" w:cs="Times New Roman"/>
        </w:rPr>
        <w:br w:type="page"/>
      </w:r>
    </w:p>
    <w:p w14:paraId="773A83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5E29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504C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AE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232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802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D1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278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36D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49F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606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2B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0EF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F6B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451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2AD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CE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FC7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2E5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8F1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403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26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B8C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0C02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F66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32D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1CA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9B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59A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84BE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058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ED5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8F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A7BA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A48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F01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E82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CA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60B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EF05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D88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95B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ADF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3C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833E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10EA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8BA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6CF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E58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61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26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6CB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CE3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0E2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D63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30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E2D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490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2B0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5CA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9F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A35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5A0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BD0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C27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68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323BA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620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9CD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6F7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6E23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B957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50AD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7D14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A4A5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E386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DA22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6ADE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C89D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6635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BBA6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4323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F7E5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F3F1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16C56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8EF5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9A29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42D5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E8E7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26D3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B31D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140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5A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787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989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326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236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90C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90F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E315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DEC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682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4BA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C0D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DDB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848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3C19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3EC7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810B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585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372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A66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DA1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9B7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869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E77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521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AF0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828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E26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CC41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4871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C713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8147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996E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537D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6DC1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8894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8574A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0DDC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DC07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08DD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324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1BB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50D3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8F32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3B28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D898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B9839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86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F742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94EC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C8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0D73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6169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D9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F8E7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E881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C0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3F73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712F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F47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DE4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DFA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CEF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BD8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D97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A82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B3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9E9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F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E6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FC2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23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68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7D1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6D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9C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FC5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5A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C7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CFF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3F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3A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00B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C6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03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CA1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D9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5B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E6E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E663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F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64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348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4C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91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81D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68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C3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6E3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29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A7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C66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7E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A2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B12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99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4B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48F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34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15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F18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0A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1C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4D7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58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60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757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2D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D0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392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9A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BA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004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12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DC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D67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44EF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1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DB9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7D0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3E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5C2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7A9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B1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77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280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49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06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A8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05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0E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F2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E8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37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1A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D6B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B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69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301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54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56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686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11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AF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A70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49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A7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FAA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F4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D9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7F9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38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72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6F6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B3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20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6D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C6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53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5C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03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21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739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DE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C4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2DF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4F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5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DF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15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0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28D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F0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DD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A7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FF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62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AEC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3623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2812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83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F2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28F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E0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9B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D00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15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6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48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20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FE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10A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C6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FA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8BA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EE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98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631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8C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C8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81F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3F7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3C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0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5C0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A0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FD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049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AC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9E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CC3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67E6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48E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CAE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053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6009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728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AB0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853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742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98E6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04A8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76A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995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56EA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061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81F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0B8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83FB28">
      <w:pPr>
        <w:rPr>
          <w:rFonts w:hint="default" w:ascii="Times New Roman" w:hAnsi="Times New Roman" w:cs="Times New Roman"/>
          <w:sz w:val="22"/>
          <w:szCs w:val="22"/>
        </w:rPr>
      </w:pPr>
    </w:p>
    <w:p w14:paraId="35078F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BA66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CD320/8D6A Elisa Kit</w:t>
      </w:r>
    </w:p>
    <w:p w14:paraId="2A8304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C2209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60AEC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D3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07A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B52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CF9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9B7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646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4FF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88C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B40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7A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4D5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64FA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D21F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41CB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0D4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E96E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35B3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A1E5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B07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F6C4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9E59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44D3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DE04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0FEE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9CE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CD320(cluster of differentiation 320), also known as 8D6A or TCBLR, is a human gene. It is mapped to chromosome 19p13.2. This gene encodes the transcobalamin receptor that is expressed at the cell surface. It mediates the cellular uptake of transcobalamin bound cobalamin(vitamin B12), and the expression of CD320 enhanced B-cell proliferation and immunoglobulin secretion. Mutations in this gene are associated with methylmalonic aciduria. It has been found that antagonists of the CD320 signaling pathway may counter the growth of follicular lymphomas or other tumors that metastasize to lymphoid follicles. CD320 is also a specific receptor for uptake of TCN2-bound cobalamin.</w:t>
      </w:r>
    </w:p>
    <w:p w14:paraId="1D8E92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FD76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042A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E3D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F0F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4E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416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1D7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245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2DF8CC">
      <w:pPr>
        <w:rPr>
          <w:rFonts w:hint="default" w:ascii="Times New Roman" w:hAnsi="Times New Roman" w:cs="Times New Roman"/>
          <w:b/>
          <w:bCs/>
          <w:sz w:val="28"/>
          <w:szCs w:val="28"/>
        </w:rPr>
      </w:pPr>
    </w:p>
    <w:p w14:paraId="61F9A72F">
      <w:pPr>
        <w:rPr>
          <w:rFonts w:hint="default" w:ascii="Times New Roman" w:hAnsi="Times New Roman" w:cs="Times New Roman"/>
          <w:b/>
          <w:bCs/>
          <w:sz w:val="28"/>
          <w:szCs w:val="28"/>
        </w:rPr>
      </w:pPr>
    </w:p>
    <w:p w14:paraId="105F6461">
      <w:pPr>
        <w:rPr>
          <w:rFonts w:hint="default" w:ascii="Times New Roman" w:hAnsi="Times New Roman" w:cs="Times New Roman"/>
          <w:b/>
          <w:bCs/>
          <w:sz w:val="28"/>
          <w:szCs w:val="28"/>
        </w:rPr>
      </w:pPr>
    </w:p>
    <w:p w14:paraId="47D54F41">
      <w:pPr>
        <w:rPr>
          <w:rFonts w:hint="default" w:ascii="Times New Roman" w:hAnsi="Times New Roman" w:cs="Times New Roman"/>
          <w:b/>
          <w:bCs/>
          <w:sz w:val="28"/>
          <w:szCs w:val="28"/>
        </w:rPr>
      </w:pPr>
    </w:p>
    <w:p w14:paraId="2A9B42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001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19A4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B07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72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346E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67E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70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D9E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D4C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2FA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EA85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1B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59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9E4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D75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192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4C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8A0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747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6E6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0D6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29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D10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39B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30A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CDE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D2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3C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31D6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88E3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903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39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6C4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FE7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BF0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99C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C8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F47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B0E5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14FC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38F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3A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16B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FAB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F8B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1FB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A6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1B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BD9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C8D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56C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76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71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BCF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5B2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34C8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3C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197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87A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A08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EE8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4B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3C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B37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40C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BD8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1E4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E0F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4BE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7AC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0CEBC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E62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ABB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B3E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76D5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B2BB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B0A2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4930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A30A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F63A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1E78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7957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9D03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73C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A525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E63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986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314A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F7B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635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65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C02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42E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AB2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09A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C00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526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C09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1D5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16D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EC6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CF0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A7D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713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A8F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E83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7410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08A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7608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BE7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AD20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E8A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28B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52D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BE9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BCC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F88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48C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CD5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EA7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AA5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D4C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EBB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F08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234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916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DCE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43F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435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9AA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CC8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96E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B53D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4DA1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0E08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7686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E288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8141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6A70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5315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4D0B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223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12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2451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0859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C0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012E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C8D7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74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D76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58A4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FC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8643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0239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305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8D7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969A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FA2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ECB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409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FB2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113F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831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2A01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3A9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302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A139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6F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F14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B4BC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30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704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97A3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D9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CA8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71C9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5F5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193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DF53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3F8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5E7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FB15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9A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118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BFC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82C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8F7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67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C3E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136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23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756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04E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B4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1C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988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E0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B8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716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90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D1C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CF5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560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BD3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4D5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85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40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851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D3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9B7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482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37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92F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8E9C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74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AF7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FF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6B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F9C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D7C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CD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5D4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05C3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4C7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C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B6A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8ED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2E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42B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959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F2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8DFE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00B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52F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A9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792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A78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50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63D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7B3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7B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FF0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C6D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922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1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BC8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56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63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CF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38C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FE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98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B55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03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9BF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1FB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F7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AF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E2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45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FB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3BE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9E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6F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CE3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64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0C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93A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31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8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B4E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3F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32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895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B4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BF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602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35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30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CE0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AE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73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3E7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96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C9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F46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E50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B20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C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F9F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B73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55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9838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615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95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1B9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6C8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18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FCF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000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95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895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F7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6B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4D3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E97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BD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F9C8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0D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48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8A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4DA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58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5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28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9B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927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333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624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06F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FFB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E43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955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032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773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142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A29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DF0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B87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63D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AA1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C002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 interest, so inconsistencies in the test results are not excluded. </w:t>
      </w:r>
    </w:p>
    <w:p w14:paraId="7B8D4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6E0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638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DF3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6E3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A6E3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99CD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2EC2B8">
    <w:pPr>
      <w:pStyle w:val="6"/>
      <w:jc w:val="both"/>
    </w:pPr>
  </w:p>
  <w:p w14:paraId="5DAA51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37D9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52F3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82643A"/>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8405</Words>
  <Characters>16769</Characters>
  <Lines>251</Lines>
  <Paragraphs>70</Paragraphs>
  <TotalTime>0</TotalTime>
  <ScaleCrop>false</ScaleCrop>
  <LinksUpToDate>false</LinksUpToDate>
  <CharactersWithSpaces>18453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2026-06-02T05:45:46Z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