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Bovine LAP/TGFβ1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62.5–4000pg/ml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12.5pg/ml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4000.0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TGFβ1以潜伏形式分泌，包括其成熟形式和潜伏相关肽（β1 LAP），存在或不存在额外的潜伏TGF-β1结合蛋白。前体蛋白在氨基酸278和279之间的加工和切割导致形成LAP二聚体和TGF-β二聚体，然后它们彼此非共价结合形成小的潜在TGF-β复合物。LAP是分泌的，可以在细胞外基质中找到。此外，LAP还可以在血小板和活化的调节性T细胞上表达。</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Bovine LAP/TGFβ1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62.5–4000pg/ml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12.5pg/ml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4000.0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LAP/TGFβ1 is secreted as a latent form, which consists of its mature form and a latency-associated peptide(beta1-LAP) in either the presence or the absence of additional latent TGF-beta1-binding protein. Processing and cleavage of the precursor protein between amino acids 278 and 279 results in the formation of LAP dimers and TGF beta dimers that then non-covalently associate with each other to form the small latent TGF beta complex. LAP is secreted and can be found in the extracellular matrix. In addition, LAP can also be expressed on platelets and activated regulatory T cells.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