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sCD40L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CD40 配体(CD40L，CD154，gp39) 是分子量为 33kD 的 II 型跨膜</w:t>
        <w:br/>
        <w:t xml:space="preserve">糖蛋白,属肿瘤坏死因子(TNF) 超家族, 以三聚体的形式表达于活化</w:t>
        <w:br/>
        <w:t xml:space="preserve">的 CD4 +T 淋巴细胞和活化的血小板表面。作为 T、B 淋巴细胞活</w:t>
        <w:br/>
        <w:t xml:space="preserve">化的主要共刺激分子, CD40/CD40L 信号途径参与细胞和体液免疫</w:t>
        <w:br/>
        <w:t xml:space="preserve">应答, 并在免疫调控中发挥作用。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sCD40L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CD40 ligand (CD40L, CD154, gp39) is a type II transmembrane with a molecular weight of 33 KD</w:t>
        <w:br/>
        <w:t xml:space="preserve">Glycoproteins, belonging to the tumor necrosis factor (TNF) superfamily, are expressed in the form of trimers</w:t>
        <w:br/>
        <w:t xml:space="preserve">CD4 + T lymphocytes and activated platelet surface. Live as T and B lymphocytes</w:t>
        <w:br/>
        <w:t xml:space="preserve">CD40 / CD40L signaling pathway is involved in cellular and humoral immunity</w:t>
        <w:br/>
        <w:t xml:space="preserve">And play a role in immune response.</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