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FC1B4">
      <w:pPr>
        <w:pStyle w:val="2"/>
        <w:bidi w:val="0"/>
        <w:jc w:val="center"/>
        <w:rPr>
          <w:rFonts w:hint="default" w:ascii="Times New Roman" w:hAnsi="Times New Roman" w:cs="Times New Roman"/>
          <w:b/>
          <w:bCs w:val="0"/>
          <w:sz w:val="36"/>
          <w:szCs w:val="36"/>
        </w:rPr>
      </w:pPr>
      <w:r>
        <w:rPr>
          <w:rFonts w:hint="eastAsia"/>
          <w:b/>
          <w:bCs/>
          <w:sz w:val="36"/>
          <w:szCs w:val="36"/>
        </w:rPr>
        <w:t>Canine CD30/TNFRSF8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76DD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49C30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993F1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841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4D9B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4AE83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2ED1E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57F0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09D5A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8ACA1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A92FD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A1A9F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DECE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FED3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084D4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A0E60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D6EC9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FC46F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E7824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4152E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2E83F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F9CF0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AC69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C7A0D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36232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D537A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5E36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9E372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30，又称TNFRSF8，是肿瘤坏死因子受体家族的细胞膜蛋白和肿瘤标志物。这种受体是细胞凋亡的积极调节者，也被证明可以限制自身反应性CD8效应T细胞的增殖潜能，保护机体免受自身免疫。该基因定位于1p36.22。CD30在胚胎癌中表达，但在精原细胞瘤中不表达，因此是区分这些生殖细胞肿瘤的有用标志物。CD30肥大细胞激活代表了一种非IgE依赖的激活途径，这对于理解与肥大细胞相关的皮肤炎症非常重要。除此之外，CD30还与间变性大细胞淋巴瘤有关。</w:t>
      </w:r>
    </w:p>
    <w:p w14:paraId="63F45F80">
      <w:pPr>
        <w:ind w:firstLine="441" w:firstLineChars="0"/>
        <w:rPr>
          <w:rFonts w:hint="default" w:ascii="Times New Roman" w:hAnsi="Times New Roman" w:cs="Times New Roman"/>
        </w:rPr>
      </w:pPr>
    </w:p>
    <w:p w14:paraId="69F95B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6BE5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DE52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BEAC9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230F7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733C8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49529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A930A58">
      <w:pPr>
        <w:rPr>
          <w:rFonts w:hint="default" w:ascii="Times New Roman" w:hAnsi="Times New Roman" w:cs="Times New Roman"/>
        </w:rPr>
      </w:pPr>
      <w:r>
        <w:rPr>
          <w:rFonts w:hint="default" w:ascii="Times New Roman" w:hAnsi="Times New Roman" w:cs="Times New Roman"/>
        </w:rPr>
        <w:br w:type="page"/>
      </w:r>
    </w:p>
    <w:p w14:paraId="605939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C4B6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33872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69F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E246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C26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3449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3AA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687A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237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D4C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FADB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54D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F5A7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285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2BEE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D58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9EA1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6574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A64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DA3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8ED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F2F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4E09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160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3DE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8B3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69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4CBA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831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7EE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B39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67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3EAC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E53D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804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B0B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2BB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D32F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2DA4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C05B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D83D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D93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CB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7DE4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1822D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4A7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6F5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173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E8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C98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10A6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EEC7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AFE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F75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E4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83F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27AA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80CF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F0A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166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B66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038C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360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35A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0C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FC125E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8377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5628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43CB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6EF55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D462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98CC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2D456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C9E9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7818F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C0A7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62CD3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0A450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A685D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91AF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6C1C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490F6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BD01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512E4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8606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C5B387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3B13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1B83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275B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BC877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FCDD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CA0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872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8DC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41F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3917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91BE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B663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E8E2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D9E6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0EE7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6BEE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8A9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6FC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09C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85F27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CB768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76CD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3112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83DF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AF4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D26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10E1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6B9A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6C7F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41E4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E15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EFA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DE9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C2F6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66B8DB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B4DB0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3CB5C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B8BA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314E9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6D619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1F53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C4C988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826C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0A85D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3B28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371E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DC81C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F5731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2D1E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035C84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B432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E5008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F5F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C3474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AD4001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448A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82C3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01BE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69FB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E65C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27375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AC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1E02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3C4B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6235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93EC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E1F2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109B0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816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3AAF6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B0A79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4528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47B1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D4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14F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82C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A71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DA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7DAE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DC37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90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6859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66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756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1B39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B92D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4D1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5ABE0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5F91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8D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A19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F47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9C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7AD74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5D03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DE5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61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B5E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DF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8C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0C3E9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946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03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97DD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A39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A1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CDE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B5C3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94B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DCB9D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38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42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728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21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5C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A66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C10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20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C997F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653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9BA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49D0E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581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5E9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A6D3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A93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B2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1251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EAB7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07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D96C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B569C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9F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816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2F1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50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F48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F9D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946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195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D19B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310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BE9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0AB8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CC3F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8A9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610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DFB7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AF2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D5E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5D554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30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CA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16F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A53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C2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E80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6D9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45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ACA8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1239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B4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5E3E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D4C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D5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3C2D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FA7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40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9E7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1B65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90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C768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A66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F0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6C0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CF3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E6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0E20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A1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05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B50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88F4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18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87C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6AE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45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3F19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D15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42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3F32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D4D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FC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7C5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10B6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4545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4B5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78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A8C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B42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17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131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D12D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B0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332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835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ED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CA59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9B1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1F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985F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4B2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80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8169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7F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88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1DD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7FD0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516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2E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A43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D04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60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CE7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3CED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2D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457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1FA72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A902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FE74E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0FD0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71C8E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B67EA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150E2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45A72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9C58B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DCB0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4C5CE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7B7B3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3B776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BDDE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E2014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52BB2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0A0C1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9CE045">
      <w:pPr>
        <w:rPr>
          <w:rFonts w:hint="default" w:ascii="Times New Roman" w:hAnsi="Times New Roman" w:cs="Times New Roman"/>
          <w:sz w:val="22"/>
          <w:szCs w:val="22"/>
        </w:rPr>
      </w:pPr>
    </w:p>
    <w:p w14:paraId="4247B23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5C442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CD30/TNFRSF8 Elisa Kit</w:t>
      </w:r>
    </w:p>
    <w:p w14:paraId="0743C4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3B56E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02DCB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946D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E28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4999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FD03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634A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61B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D43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A0AF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F0F3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06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967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2001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D636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CAA4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7A40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FE4A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F406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0DBE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2C04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B2EB1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46AF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1C05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A6200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7CD3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FB922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CD30, also known as TNFRSF8, is a cell membrane protein of the tumor necrosis factor receptor family and tumor marker. This receptor is a positive regulator of apoptosis, and also has been shown to limit the proliferative potential of autoreactive CD8 effector T cells and protect the body against autoimmunity. This gene is mapped to 1p36.22. CD30 is expressed in embryonal carcinoma but not in seminoma and is thus a useful marker in distinguishing between these germ cell tumors. CD30 mast cell activation represents an IgE-independent activation pathway, which is important for understanding cutaneous inflammation associated with mast cells. In addition to those, CD30 is also associated with anaplastic large cell lymphoma.</w:t>
      </w:r>
    </w:p>
    <w:p w14:paraId="1DC70E9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1FB780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1C201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454A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049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BCD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075F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431D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6B8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BF5DAD">
      <w:pPr>
        <w:rPr>
          <w:rFonts w:hint="default" w:ascii="Times New Roman" w:hAnsi="Times New Roman" w:cs="Times New Roman"/>
          <w:b/>
          <w:bCs/>
          <w:sz w:val="28"/>
          <w:szCs w:val="28"/>
        </w:rPr>
      </w:pPr>
    </w:p>
    <w:p w14:paraId="5EFEFF93">
      <w:pPr>
        <w:rPr>
          <w:rFonts w:hint="default" w:ascii="Times New Roman" w:hAnsi="Times New Roman" w:cs="Times New Roman"/>
          <w:b/>
          <w:bCs/>
          <w:sz w:val="28"/>
          <w:szCs w:val="28"/>
        </w:rPr>
      </w:pPr>
    </w:p>
    <w:p w14:paraId="6B30F43C">
      <w:pPr>
        <w:rPr>
          <w:rFonts w:hint="default" w:ascii="Times New Roman" w:hAnsi="Times New Roman" w:cs="Times New Roman"/>
          <w:b/>
          <w:bCs/>
          <w:sz w:val="28"/>
          <w:szCs w:val="28"/>
        </w:rPr>
      </w:pPr>
    </w:p>
    <w:p w14:paraId="5144B7D2">
      <w:pPr>
        <w:rPr>
          <w:rFonts w:hint="default" w:ascii="Times New Roman" w:hAnsi="Times New Roman" w:cs="Times New Roman"/>
          <w:b/>
          <w:bCs/>
          <w:sz w:val="28"/>
          <w:szCs w:val="28"/>
        </w:rPr>
      </w:pPr>
    </w:p>
    <w:p w14:paraId="433A933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432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971BF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BC41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8F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8A0E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E08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AFE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1CD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3FC7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3C4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890A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6AE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B34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4827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D5B9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EA38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F47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A14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014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ECE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7CAC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88F3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DDC9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086A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9F1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F97D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179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4FAA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1D1AD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BB0FE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524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379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0B61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091B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725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9B31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5F1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029D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6B8C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EC455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3B2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159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C272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617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C82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E919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786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CFC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F28B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FEB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233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ED1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940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39CA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3C9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A398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718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046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AA28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3F85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8331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58A2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EC4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A92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326C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D1FC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B27E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1587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C0C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FAE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4279A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FD8C4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E6F4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236E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C3C5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C4E4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ECD73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2845A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E0CCA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E235F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6FD6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745BD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42F337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7E01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779E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A9D0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0CF7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88D4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32F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0F7B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DC0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4F7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DEC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D64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4810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163D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002A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1829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23F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B4A0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658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AFE7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6FF0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4B5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548DE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392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7BB62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125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4F574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05E3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87B1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5AF2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C76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4EF4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9A5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D5EF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96C5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7A3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568C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685A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8BB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D4B3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274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D146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86B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33BA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CAF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06D2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0B8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6B6F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8B8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6B76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78747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F9708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48AF0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62AD4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0048E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22B0FE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FCD0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65BB5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A3DFD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525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E1B1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C13F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66ED3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A4CF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A945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9436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82E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AD05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941E5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D88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DCF9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1362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670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256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4CF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F4F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B094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BCC6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65C6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41CC0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02B8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B9301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5D7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2521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8F6E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006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36E9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20B9B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B36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944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70D8F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D65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A93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61DD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ED5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CD3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2063D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3E2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798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D7CA6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D2D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B18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2B3B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565B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AF3B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FB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858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CEF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1A7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696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53A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6A4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EE9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D3F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CBAE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95F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F73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0E47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858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98B6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3F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619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443D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7AE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666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21A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356D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A6B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E9C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7B67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413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09C6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E0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182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EDD3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585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D66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30C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C2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DAD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1F6F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3D28A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79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CA7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437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7A2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156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4A5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4814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EA7E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4002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F7D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C0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D04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ADFF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404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A7E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74E7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A7A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94C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FD7B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B3D0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8E9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6BE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7E6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F88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800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A33B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40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02E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26F4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6F7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D28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8E79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E5BF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781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1CC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5D4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A5E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F46C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960C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90F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0000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D374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F98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C474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DACB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7D1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E305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063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84D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06D3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C0BA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995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DB05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89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D76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4D7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7A1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631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FEF2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FD7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EE4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50D4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192EA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8380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50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574E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E6E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BB3E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5E36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599D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569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DB7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8214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348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9A7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5E3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A4C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496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59EC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B97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58B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25DF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F2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2287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7F1E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77B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5A8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3CC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EBB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EC3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CD7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96B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F48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32C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8C795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A77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57F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E0C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5756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B68E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4A4D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8E23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0E53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D7A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9B4B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9B5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974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tal results and the factory results or the increase in the difference between batches of kits.</w:t>
      </w:r>
    </w:p>
    <w:p w14:paraId="50837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8903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281A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D13B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1FC8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4943A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4943A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83C6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A683D7A">
    <w:pPr>
      <w:pStyle w:val="6"/>
      <w:jc w:val="both"/>
    </w:pPr>
  </w:p>
  <w:p w14:paraId="4168C2B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460E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6FE8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EF04DA"/>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10743</Words>
  <Characters>29025</Characters>
  <Lines>251</Lines>
  <Paragraphs>70</Paragraphs>
  <TotalTime>0</TotalTime>
  <ScaleCrop>false</ScaleCrop>
  <LinksUpToDate>false</LinksUpToDate>
  <CharactersWithSpaces>32885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2026-05-22T06:46:44Z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