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A4D178">
      <w:pPr>
        <w:pStyle w:val="2"/>
        <w:bidi w:val="0"/>
        <w:jc w:val="center"/>
        <w:rPr>
          <w:rFonts w:hint="default" w:ascii="Times New Roman" w:hAnsi="Times New Roman" w:cs="Times New Roman"/>
          <w:b/>
          <w:bCs w:val="0"/>
          <w:sz w:val="36"/>
          <w:szCs w:val="36"/>
        </w:rPr>
      </w:pPr>
      <w:r>
        <w:rPr>
          <w:rFonts w:hint="eastAsia"/>
          <w:b/>
          <w:bCs/>
          <w:sz w:val="36"/>
          <w:szCs w:val="36"/>
        </w:rPr>
        <w:t>Canine Tenascin-C/TNC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0BE4A6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93.8–6000pg/ml</w:t>
      </w:r>
    </w:p>
    <w:p w14:paraId="1C4C016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18.9pg/ml</w:t>
      </w:r>
    </w:p>
    <w:p w14:paraId="1D80F9C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6A7C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EC49E2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16F81D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952517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9F7759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AF5C68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CDDD5B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FAA07D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DE487F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18E9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98B16D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6000.0</w:t>
            </w:r>
          </w:p>
        </w:tc>
        <w:tc>
          <w:tcPr>
            <w:tcW w:w="1134" w:type="dxa"/>
            <w:vAlign w:val="center"/>
          </w:tcPr>
          <w:p w14:paraId="680655A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3000.0</w:t>
            </w:r>
          </w:p>
        </w:tc>
        <w:tc>
          <w:tcPr>
            <w:tcW w:w="1134" w:type="dxa"/>
            <w:vAlign w:val="center"/>
          </w:tcPr>
          <w:p w14:paraId="349B808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1500.0</w:t>
            </w:r>
          </w:p>
        </w:tc>
        <w:tc>
          <w:tcPr>
            <w:tcW w:w="1134" w:type="dxa"/>
            <w:vAlign w:val="center"/>
          </w:tcPr>
          <w:p w14:paraId="77AFC02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750.0</w:t>
            </w:r>
          </w:p>
        </w:tc>
        <w:tc>
          <w:tcPr>
            <w:tcW w:w="1134" w:type="dxa"/>
            <w:vAlign w:val="center"/>
          </w:tcPr>
          <w:p w14:paraId="04E7077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375.0</w:t>
            </w:r>
          </w:p>
        </w:tc>
        <w:tc>
          <w:tcPr>
            <w:tcW w:w="1134" w:type="dxa"/>
            <w:vAlign w:val="center"/>
          </w:tcPr>
          <w:p w14:paraId="3E67C58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187.5</w:t>
            </w:r>
          </w:p>
        </w:tc>
        <w:tc>
          <w:tcPr>
            <w:tcW w:w="1134" w:type="dxa"/>
            <w:vAlign w:val="center"/>
          </w:tcPr>
          <w:p w14:paraId="150D43E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93.8</w:t>
            </w:r>
          </w:p>
        </w:tc>
        <w:tc>
          <w:tcPr>
            <w:tcW w:w="1134" w:type="dxa"/>
            <w:vAlign w:val="center"/>
          </w:tcPr>
          <w:p w14:paraId="4C07016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8895E7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A2135B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D52E4F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575DC1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AEE173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2672F0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A3C437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Tenascin C（TN-C）是一种糖蛋白，在人类中由TNC基因编码。在发育、疾病或损伤期间，它在各种组织的细胞外基质中表达，并在中枢神经系统有限的神经源性区域表达。Tenascin-C是基因家族（Tenascin）的创始成员。在胚胎中，它是由迁移细胞如神经嵴形成的；它在肌腱、骨骼和软骨的发育中也很丰富。TN-C在细胞信号传导中起着明显的作用，其在创伤、炎症或癌症发展等事件中被诱导的能力证明了这一点。此外，TN-C在调节细胞增殖和迁移方面也很重要，尤其是在发育分化和伤口愈合期间。</w:t>
      </w:r>
    </w:p>
    <w:p w14:paraId="61D520AE">
      <w:pPr>
        <w:ind w:firstLine="441" w:firstLineChars="0"/>
        <w:rPr>
          <w:rFonts w:hint="default" w:ascii="Times New Roman" w:hAnsi="Times New Roman" w:cs="Times New Roman"/>
        </w:rPr>
      </w:pPr>
    </w:p>
    <w:p w14:paraId="3CBD16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58B4D9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D6FE2B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FB87F9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5C507C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D99A7E4">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85FAD63">
      <w:pPr>
        <w:rPr>
          <w:rFonts w:hint="default" w:ascii="Times New Roman" w:hAnsi="Times New Roman" w:cs="Times New Roman"/>
        </w:rPr>
      </w:pPr>
      <w:r>
        <w:rPr>
          <w:rFonts w:hint="default" w:ascii="Times New Roman" w:hAnsi="Times New Roman" w:cs="Times New Roman"/>
        </w:rPr>
        <w:br w:type="page"/>
      </w:r>
    </w:p>
    <w:p w14:paraId="31D21A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8CE690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FDF39C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73C0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4FF09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EC566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2243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EFCA3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474DE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89E03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D812C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75AA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8433F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0564D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CB98D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0621C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540E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C6C18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8F93E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BC278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87B37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5C49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0FB3A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F6F01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C1CF8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37149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6A907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E20B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D3967E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E3146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2980E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F7DAA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1AD0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D16D6A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6A0B3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CF0A3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276C3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FE1F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F4BA53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B6C427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FD727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B9517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360DD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48D9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96A2E9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FA6D21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F8701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67926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235D4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CD9B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B58A2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39C35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45E82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188D0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DCD97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D88F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6C336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3A4AB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59C5F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DB805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C048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EE984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A731E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F558F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CFD33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3342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AB5959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87800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19A56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84752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3883F9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AC0408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82A781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0432BE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E76FCF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C6BA91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E036B2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E83BB9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E89E62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A05C5E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3B6DFE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580F5C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F817B1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7A8A91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118283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21ED32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7577C1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B2B5C5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64DBCA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DCC942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1DC4B2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EA592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CCEBF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79675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8768E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73999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7E577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61736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3DA4E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E38C5B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7C0A8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240DF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F7DD9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8458C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4EBA5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5A29C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02BB54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F8E8F0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E44B5E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45210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F63A5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F75FC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9F582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43379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B89F9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A5D82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221B4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9BD68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F4D80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BDCAF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540001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32ABB30">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50E37C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DD7959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0459C9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D0EF06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E9E23E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FAFA4A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954F48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777E17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829037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10B3EC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983537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D73A48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4E8AF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842F13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F6029E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894CB4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1D3F2A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6E47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EF05EF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829DA3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4A53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F8FCCB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56E8BF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4D9F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9F9981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571EF9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C179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D22479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9B6122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88586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0D68B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3F782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11229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B5F3D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794BC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03848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EEC42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FDF0E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7BD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10B1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1CAFB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8EE5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CDA2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5DAC1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DC59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7F67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4007E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76A8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B9A7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F5E92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6BA5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5C7C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B273B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D964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237B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7EC9D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7EEB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D3B3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64AEC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252926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D68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243B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F75FF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CB2D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1244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F714B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727D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2090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8F9AD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1BA7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E2AD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CC5FD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B9C5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781E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54BE6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1351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F6D8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C3389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FFE7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4CB5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3992F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5108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C7FD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CAFB4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70D7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871B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B51DF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90EC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5976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2A533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6265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B9E1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3100F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B972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55C2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6FB0A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5B8930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25F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D7FF9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62BEA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2A39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F633F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CB528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67AA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65859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11989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6E0C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73C3E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3BBFE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305E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90B76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994B8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7CED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CAC6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F0E02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B46237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1AF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31E9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72AD0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B363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B35F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3E9E2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CF35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977D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2ECBD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5AD3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98B1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73C24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7B6F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26B0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4B4D7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7C70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8EB8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EAB0F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F521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0D60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7ACBF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DAC8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1921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4882A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4CB3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DCC1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D095C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272B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8286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49F27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5011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CE77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AD636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21C4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711F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F29BC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4190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1DD8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2D346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0EE9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ACE7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E8565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4C9AAB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D0D5F1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675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6267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11D25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A8FA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6B27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4EAA4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FF59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CD09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60549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E0F9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8796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09C7B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90A7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6680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7FBF0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7F42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986B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C62AD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10F4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88D0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969C4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08610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9448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2B53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F22BA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3AA4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BA68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49C2F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FBB2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9829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E3FEF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3F39CD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96A5E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6E6BC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D83BC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B1686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0CAA4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5D1F3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9870C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B59D6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8D6FF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11E6F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4A82D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AF901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53C22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5D8E1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B4CA5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9B09A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C991E9A">
      <w:pPr>
        <w:rPr>
          <w:rFonts w:hint="default" w:ascii="Times New Roman" w:hAnsi="Times New Roman" w:cs="Times New Roman"/>
          <w:sz w:val="22"/>
          <w:szCs w:val="22"/>
        </w:rPr>
      </w:pPr>
    </w:p>
    <w:p w14:paraId="5FD8CBE1">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4CA7A6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Tenascin-C/TNC Elisa Kit</w:t>
      </w:r>
    </w:p>
    <w:p w14:paraId="791FF59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93.8–6000pg/ml</w:t>
      </w:r>
    </w:p>
    <w:p w14:paraId="2A885FF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18.9pg/ml</w:t>
      </w:r>
    </w:p>
    <w:p w14:paraId="25B97C2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507E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65513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9C270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DD2AF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1A547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9EF12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B12BF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850B8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250AA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38D6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0FB4B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6000.0</w:t>
            </w:r>
          </w:p>
        </w:tc>
        <w:tc>
          <w:tcPr>
            <w:tcW w:w="1036" w:type="dxa"/>
            <w:vAlign w:val="center"/>
          </w:tcPr>
          <w:p w14:paraId="24934E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3000.0</w:t>
            </w:r>
          </w:p>
        </w:tc>
        <w:tc>
          <w:tcPr>
            <w:tcW w:w="1036" w:type="dxa"/>
            <w:vAlign w:val="center"/>
          </w:tcPr>
          <w:p w14:paraId="477360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1500.0</w:t>
            </w:r>
          </w:p>
        </w:tc>
        <w:tc>
          <w:tcPr>
            <w:tcW w:w="1036" w:type="dxa"/>
            <w:vAlign w:val="center"/>
          </w:tcPr>
          <w:p w14:paraId="60979C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750.0</w:t>
            </w:r>
          </w:p>
        </w:tc>
        <w:tc>
          <w:tcPr>
            <w:tcW w:w="1036" w:type="dxa"/>
            <w:vAlign w:val="center"/>
          </w:tcPr>
          <w:p w14:paraId="4906EB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375.0</w:t>
            </w:r>
          </w:p>
        </w:tc>
        <w:tc>
          <w:tcPr>
            <w:tcW w:w="1036" w:type="dxa"/>
            <w:vAlign w:val="center"/>
          </w:tcPr>
          <w:p w14:paraId="3A54DB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187.5</w:t>
            </w:r>
          </w:p>
        </w:tc>
        <w:tc>
          <w:tcPr>
            <w:tcW w:w="1037" w:type="dxa"/>
            <w:vAlign w:val="center"/>
          </w:tcPr>
          <w:p w14:paraId="1E0513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93.8</w:t>
            </w:r>
          </w:p>
        </w:tc>
        <w:tc>
          <w:tcPr>
            <w:tcW w:w="1037" w:type="dxa"/>
            <w:vAlign w:val="center"/>
          </w:tcPr>
          <w:p w14:paraId="7DCD12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8512B8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CA55DF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242192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5AEFDD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F5183E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4959CA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74354E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Tenascin C (TN-C) is a glycoprotein that in humans is encoded by the TNC gene. It is expressed in the extracellular matrix of various tissues during development, disease or injury, and in restricted neurogenic areas of the central nervous system. Tenascin-C is the founding member of the gene family (Tenascin). In the embryo it is made by migrating cells like the neural crest; it is also abundant in developing tendons, bone and cartilage. TN-C clearly plays a role in cell signaling as evidenced by its ability to be induced during events such as trauma, inflammation, or cancer development. Also, TN-C is important in regulating cell proliferation and migration, especially during developmental differentiation and wound healing.</w:t>
      </w:r>
    </w:p>
    <w:p w14:paraId="1003CE3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ABFC2B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AED946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9B3DA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290FC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F89CF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58B07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FDDC0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441F3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D0E7997">
      <w:pPr>
        <w:rPr>
          <w:rFonts w:hint="default" w:ascii="Times New Roman" w:hAnsi="Times New Roman" w:cs="Times New Roman"/>
          <w:b/>
          <w:bCs/>
          <w:sz w:val="28"/>
          <w:szCs w:val="28"/>
        </w:rPr>
      </w:pPr>
    </w:p>
    <w:p w14:paraId="416B9E85">
      <w:pPr>
        <w:rPr>
          <w:rFonts w:hint="default" w:ascii="Times New Roman" w:hAnsi="Times New Roman" w:cs="Times New Roman"/>
          <w:b/>
          <w:bCs/>
          <w:sz w:val="28"/>
          <w:szCs w:val="28"/>
        </w:rPr>
      </w:pPr>
    </w:p>
    <w:p w14:paraId="7EB3476B">
      <w:pPr>
        <w:rPr>
          <w:rFonts w:hint="default" w:ascii="Times New Roman" w:hAnsi="Times New Roman" w:cs="Times New Roman"/>
          <w:b/>
          <w:bCs/>
          <w:sz w:val="28"/>
          <w:szCs w:val="28"/>
        </w:rPr>
      </w:pPr>
    </w:p>
    <w:p w14:paraId="2F733BCE">
      <w:pPr>
        <w:rPr>
          <w:rFonts w:hint="default" w:ascii="Times New Roman" w:hAnsi="Times New Roman" w:cs="Times New Roman"/>
          <w:b/>
          <w:bCs/>
          <w:sz w:val="28"/>
          <w:szCs w:val="28"/>
        </w:rPr>
      </w:pPr>
    </w:p>
    <w:p w14:paraId="73B1EEC2">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FA87C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1F6853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97C4A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6D37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816F28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C1D82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8CEC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294AD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0F6AA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06235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5A8F6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073F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0117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9605E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A1778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15FB0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26A4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0133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E689A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DFBD8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DF123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F461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746DB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CE79A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62E31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607F3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CB57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1F575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D53E20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DBCDB1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23F1A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B4E5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DA9B4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8E667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6EAE6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756FA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6641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BBC50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9B3E63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448843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EB189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FB5D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E614D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55735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918E9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1FBA9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1A99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2655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1719D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27BE6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91889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B0A8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FEAB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097A2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D076D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03753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B991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A97C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5A3A7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42695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D9E72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42A5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8DDA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2886D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005A6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83D7D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87B3F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E9B5C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9A51F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200BF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7B3B05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08C5F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0C815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065B0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0210AA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34EBC6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17979E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793AAE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D351C4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44CEEF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EB4355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43DA00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32C146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3A6B5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A71D53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D2B059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6CF1D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BB721D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3E777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18AFE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F33FB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4FC2B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29EA6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F58E5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1F469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331D5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0033A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99863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99832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89604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73B3E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F90E0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D5576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0AC89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F899B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92EEC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21D1D9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931E9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DA1876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0D9A69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9C5642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B5DD1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98BDE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B1C5E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E7F63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C26D6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73952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79BF4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C14DE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461BE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C4742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6058F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EC25E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F6B4A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FDFCF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2BE7E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4547B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A74B2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295CC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B89C0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AAB7B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6BC0B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572D53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A116FB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381D61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E69EBB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DECDB5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837EE2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E218D8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7EA050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FF72A7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7485A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AE7C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28DAB6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63F4A0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9F7F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D38BA2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728A7B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1E6C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C1D0C6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F91C61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24F8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2969DF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FABFD2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09D3B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0C60E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ADD9C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56617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87766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55CFF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8EA0E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78B1F7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44380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56DFD0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9BF06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EA51C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35FABB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5017D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482CC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31FF64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CB874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89F2D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565829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8B096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65E3F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3D2623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3B2E7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352C2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275482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08DD0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94A4C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053E2B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CFED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949D5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4C649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5E7BC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6EEEC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757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6FDFD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06473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BE43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1611C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AA65D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D1CC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A33B8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B529B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8156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1E3A1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0E651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D54C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0290C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F2A95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B067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33FA8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ABF01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00FF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315ED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D50BE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EB51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E827C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B3A54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C05B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A4C1B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3808E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8086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A65B3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0806C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0D4D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743BA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45137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78DD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3F2AC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88A30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246AE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ADD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D0155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03916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7CF8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24F2C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49BC2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1E9A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E8DF60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4E0D9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D3DD0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04C6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BD519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EE02C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D91F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EC34F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8E389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9916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3F031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F1F52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E65B9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ADE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2D9C8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DF85B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56A7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730CB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5B49B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AC92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F4FF0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8997E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BF50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767D8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4C75F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1B82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5958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E0BC7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3885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0D00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BBDBB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9627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C494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4AF19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E8D6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FEAF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FD902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FD86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9C3B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22EDF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7447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44E1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F4123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AEAE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B6D9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F8E1D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9F30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23D9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FA721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541D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B438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66C69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F101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013C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EA703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37AD8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EFE84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DFD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E3D15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F2F3A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FDD0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A2C861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A2EF5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5813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F6760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13239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E70A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21E66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0168B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2439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C6C9D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0F827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27E9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29251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AAE54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88BD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D3AA4B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12D70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1418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5A863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753CE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1A00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574CE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07AE1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130A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7545E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7E7F8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0ED30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BDAB0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C87E3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986CE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A57E9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47F8B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16F0A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CA646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83F67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64CCB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7A3F0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1F5C6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18990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CB242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9ED9F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C7115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F17DA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3362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E3B6F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9E3B6F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5D0D4">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8FCE2B0">
    <w:pPr>
      <w:pStyle w:val="6"/>
      <w:jc w:val="both"/>
    </w:pPr>
  </w:p>
  <w:p w14:paraId="4505CBB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BF711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21D93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9DA4D5C"/>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10882</Words>
  <Characters>29768</Characters>
  <Lines>251</Lines>
  <Paragraphs>70</Paragraphs>
  <TotalTime>0</TotalTime>
  <ScaleCrop>false</ScaleCrop>
  <LinksUpToDate>false</LinksUpToDate>
  <CharactersWithSpaces>33754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2026-05-26T02:49:57Z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