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6B259">
      <w:pPr>
        <w:pStyle w:val="2"/>
        <w:bidi w:val="0"/>
        <w:jc w:val="center"/>
        <w:rPr>
          <w:rFonts w:hint="default" w:ascii="Times New Roman" w:hAnsi="Times New Roman" w:cs="Times New Roman"/>
          <w:b/>
          <w:bCs w:val="0"/>
          <w:sz w:val="36"/>
          <w:szCs w:val="36"/>
        </w:rPr>
      </w:pPr>
      <w:r>
        <w:rPr>
          <w:rFonts w:hint="eastAsia"/>
          <w:b/>
          <w:bCs/>
          <w:sz w:val="36"/>
          <w:szCs w:val="36"/>
        </w:rPr>
        <w:t>Mouse TNFRSF25/DR3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DE6C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770DD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FEBE2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7F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19D7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8D82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E864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1D28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9433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9B96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5171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46D1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2A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1A91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54FB6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D1DFB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DEC32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23E8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FAEFF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7A201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B62C9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5891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6E02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7CE7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D30C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0C35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9E93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ED76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死亡受体3（DR3），也称为肿瘤坏死因子受体超家族成员25（TNFRSF25），是肿瘤坏死因子受体超家族的细胞表面受体，介导凋亡信号和分化。在小鼠中进行的基因敲除研究表明，该基因在去除胸腺中的自身反应性T细胞中起作用。据报道，该基因编码不同亚型的多个选择性剪接转录变体，其中大多数是潜在的分泌分子。B细胞和T细胞中该基因的选择性剪接在T细胞激活时发生程序性变化，主要产生全长、膜结合的亚型，被认为参与控制T细胞激活诱导的淋巴细胞增殖。</w:t>
      </w:r>
    </w:p>
    <w:p w14:paraId="63944DDA">
      <w:pPr>
        <w:ind w:firstLine="441" w:firstLineChars="0"/>
        <w:rPr>
          <w:rFonts w:hint="default" w:ascii="Times New Roman" w:hAnsi="Times New Roman" w:cs="Times New Roman"/>
        </w:rPr>
      </w:pPr>
    </w:p>
    <w:p w14:paraId="6E7AE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E106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0DBF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0B5B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1154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78C4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C6A4B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DE0516">
      <w:pPr>
        <w:rPr>
          <w:rFonts w:hint="default" w:ascii="Times New Roman" w:hAnsi="Times New Roman" w:cs="Times New Roman"/>
        </w:rPr>
      </w:pPr>
      <w:r>
        <w:rPr>
          <w:rFonts w:hint="default" w:ascii="Times New Roman" w:hAnsi="Times New Roman" w:cs="Times New Roman"/>
        </w:rPr>
        <w:br w:type="page"/>
      </w:r>
    </w:p>
    <w:p w14:paraId="68285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28E2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DB34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24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6BB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D9A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92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DFE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B8D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79C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D8A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38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388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6B4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9D1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867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C5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3BA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D18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B43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ACD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19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A2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56A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62C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2A5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5BF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BB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1DB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064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385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DA5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5E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CFB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0EB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D1D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F23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02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873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FD6E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A9E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89E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0F5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51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C83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EB28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EDD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D49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DBF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1F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1A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152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80E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5C2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6C2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07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9E5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E92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C72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584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AF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A89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EA0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2E4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198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A9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B8CBD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A0C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EDB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7C5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4049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25A5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0594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4BE2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9929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C080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DCB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FA94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370F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C1E4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4577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5927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726D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D7C1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0EAE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D02B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6CBC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D3CA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6948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AA1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6469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EC3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33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652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B62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1A1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958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A83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021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96CB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784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633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78E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B4C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214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E5B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2F9F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C7FD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931A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BA9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AC0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F70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435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636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AA4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898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45B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A6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FBE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59D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5A79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51A10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8294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BBEA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2E13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43F2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330E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2982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6AE6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5355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9298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90CF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188B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443D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B01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3FEE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E227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A6D6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5E48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11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5788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F4E9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46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7CAD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210A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AF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189E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A2F9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14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6B64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7F47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48F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0F5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95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ED8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535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495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9D4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DFE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3F6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5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FD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992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F5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B4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128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58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15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561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A7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9A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F02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54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D5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CE6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93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C0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C1D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B6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49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B0A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14A0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2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2D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27C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03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FE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2E4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4F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29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24D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8C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A8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E9D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FB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F0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B5F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D8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22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3FD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36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7A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62D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92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ED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35A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15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D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8C2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94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96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4D9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75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6E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8B2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CB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9D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114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133A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C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D30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B0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04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909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33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14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295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C6E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F7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10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BE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DF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A9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0EC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8D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9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3B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1363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4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AF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D1D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64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E9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2DD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9B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CB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64A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8C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B8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069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2F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D4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7E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6A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74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FE0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ED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51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A1D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A2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A2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77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BC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B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BF3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B9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90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32C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17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D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80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C2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9B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043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D8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4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7ED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CF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4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4B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9434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D51F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2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C2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AA4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F1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F2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0E7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BF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D9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32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19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F3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3A9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5D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93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023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DA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D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2C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BA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C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53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4AC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0D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EA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756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55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AF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240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24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AA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EB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B678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90C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D6B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193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F6F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BB1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071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E38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F30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4E3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B61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A905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4F1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E56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E8B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A57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0F1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9C5C17">
      <w:pPr>
        <w:rPr>
          <w:rFonts w:hint="default" w:ascii="Times New Roman" w:hAnsi="Times New Roman" w:cs="Times New Roman"/>
          <w:sz w:val="22"/>
          <w:szCs w:val="22"/>
        </w:rPr>
      </w:pPr>
    </w:p>
    <w:p w14:paraId="59F75A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89451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TNFRSF25/DR3 Elisa Kit</w:t>
      </w:r>
    </w:p>
    <w:p w14:paraId="70C082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14FF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9F075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9B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B7E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9B6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FCA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8F6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2E8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498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24E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C0B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B3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76C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7FD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CCD8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124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2D5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E836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6712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2447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74BA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9DA3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E09A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9DF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5F4B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1F2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CB61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TNFRSF25/DR3 is Death receptor 3 (DR3), also known as tumor necrosis factor receptor superfamily member 25 (TNFRSF25), is a cell surface receptor of the tumor necrosis factor receptor superfamily which mediates apoptotic signalling and differentiation. Knockout studies in mice suggested the role of this gene in the removal of self-reactive T cells in the thymus. Multiple alternatively spliced transcript variants of this gene encoding distinct isoforms have been reported, most of which are potentially secreted molecules. The alternative splicing of this gene in B and T cells encounters a programmed change upon T-cell activation, which predominantly produces full-length, membrane bound isoforms, and is thought to be involved in controlling lymphocyte proliferation induced by T-cell activation</w:t>
      </w:r>
    </w:p>
    <w:p w14:paraId="4955ED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BC7D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05CA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4FD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674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34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D6B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9C0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103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88BA34">
      <w:pPr>
        <w:rPr>
          <w:rFonts w:hint="default" w:ascii="Times New Roman" w:hAnsi="Times New Roman" w:cs="Times New Roman"/>
          <w:b/>
          <w:bCs/>
          <w:sz w:val="28"/>
          <w:szCs w:val="28"/>
        </w:rPr>
      </w:pPr>
    </w:p>
    <w:p w14:paraId="2FB00448">
      <w:pPr>
        <w:rPr>
          <w:rFonts w:hint="default" w:ascii="Times New Roman" w:hAnsi="Times New Roman" w:cs="Times New Roman"/>
          <w:b/>
          <w:bCs/>
          <w:sz w:val="28"/>
          <w:szCs w:val="28"/>
        </w:rPr>
      </w:pPr>
    </w:p>
    <w:p w14:paraId="036A998C">
      <w:pPr>
        <w:rPr>
          <w:rFonts w:hint="default" w:ascii="Times New Roman" w:hAnsi="Times New Roman" w:cs="Times New Roman"/>
          <w:b/>
          <w:bCs/>
          <w:sz w:val="28"/>
          <w:szCs w:val="28"/>
        </w:rPr>
      </w:pPr>
    </w:p>
    <w:p w14:paraId="062ABAC7">
      <w:pPr>
        <w:rPr>
          <w:rFonts w:hint="default" w:ascii="Times New Roman" w:hAnsi="Times New Roman" w:cs="Times New Roman"/>
          <w:b/>
          <w:bCs/>
          <w:sz w:val="28"/>
          <w:szCs w:val="28"/>
        </w:rPr>
      </w:pPr>
    </w:p>
    <w:p w14:paraId="76CEE7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B7D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F361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C8B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36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CE9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BD6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7F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F5F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7FA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34A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6D4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CB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16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4A3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38F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AC5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98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DD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A3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4B8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066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5F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BA1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1A5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863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7BF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5C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EB0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8DDC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0E46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E33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28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143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D23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6EF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CE4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0E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58A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677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65D6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1B8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B5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01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9F2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58D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803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07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CB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E68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2C3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FC2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C7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A7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144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337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89C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56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B1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EA3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A4D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032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E9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E2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2E0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811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2FD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446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C08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3E8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A08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E53D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C7A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75A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2E9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1CD2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EADB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1A46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6666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1879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6ECA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86D5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0FD7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08F0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53F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A913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CA5C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05A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FD0C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BA9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FB4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0F6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EB7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01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53A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C4A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FB4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A83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5A0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E6C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DC7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ED2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E97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073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041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845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053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46D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B8C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0B69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7DB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E3A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511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163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BAE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8AF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EB0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C8A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686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B1F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B7F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9A7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ADC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0F7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E18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86A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D56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AFD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0FE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503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F7B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40D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9C8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466A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CB95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B1BD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5F7E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0BA5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5C6A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6BA9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267C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E35E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3D6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54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6DBB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454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B7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B047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B40F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05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85E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EE5C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AA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EAB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D56F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A83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6E6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FDE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1AE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F82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1A5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26C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1602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8A5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FE9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9A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9C5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4857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89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41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E2E0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9AE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B0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578D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5B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B5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67CC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1C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E65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2352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2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A0B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56F9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0B5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A37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0CA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3D5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E5A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6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7C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868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5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5BB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111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A8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2F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4A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F4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20F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4A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22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CA1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12F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6A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0C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723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D8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84F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23E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FA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B8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D6C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E2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955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C1F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01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89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FD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27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15B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F42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30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40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1A8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F4F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4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17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B2D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D9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A9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273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1D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750B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FD6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9C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62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16C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7AC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30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38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EE3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F2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778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A42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C97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0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72D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A09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6B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B8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4BA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4E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1CA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E9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DF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52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2E7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65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D1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A52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C8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9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6EF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7E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3B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AC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F4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D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32B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50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A7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19E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42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5A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54E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3E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F4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41C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F4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C5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941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62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0DB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F0F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9B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36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623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A14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0D2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C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07D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D81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58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1BD7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8AB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B4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288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E47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D0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30A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4F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AD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2A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53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5D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B59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FE5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F1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62C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556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B9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D1D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D69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47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85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38B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A0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E34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B2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CBE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4A5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8CA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7AB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B1B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EFF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36C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722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33B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BE3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638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346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CA3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between the experimental results and the factory results or the increase in the difference between batches of kits.</w:t>
      </w:r>
    </w:p>
    <w:p w14:paraId="0000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633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CB4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7F2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56A2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90A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D90A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CB7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4C9E0D">
    <w:pPr>
      <w:pStyle w:val="6"/>
      <w:jc w:val="both"/>
    </w:pPr>
  </w:p>
  <w:p w14:paraId="25D333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21E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3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9115D0"/>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7937</Words>
  <Characters>14185</Characters>
  <Lines>251</Lines>
  <Paragraphs>70</Paragraphs>
  <TotalTime>0</TotalTime>
  <ScaleCrop>false</ScaleCrop>
  <LinksUpToDate>false</LinksUpToDate>
  <CharactersWithSpaces>15369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