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EB915">
      <w:pPr>
        <w:pStyle w:val="2"/>
        <w:bidi w:val="0"/>
        <w:jc w:val="center"/>
        <w:rPr>
          <w:rFonts w:hint="default" w:ascii="Times New Roman" w:hAnsi="Times New Roman" w:cs="Times New Roman"/>
          <w:b/>
          <w:bCs w:val="0"/>
          <w:sz w:val="36"/>
          <w:szCs w:val="36"/>
        </w:rPr>
      </w:pPr>
      <w:r>
        <w:rPr>
          <w:rFonts w:hint="eastAsia"/>
          <w:b/>
          <w:bCs/>
          <w:sz w:val="36"/>
          <w:szCs w:val="36"/>
        </w:rPr>
        <w:t>Human CTX-1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60D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3E29D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00C86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E0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89B2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0273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DAF9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B10B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551D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004E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2049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700D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08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DC21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60151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4DDD0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87FA9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5DB55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2F749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0F36D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EFEA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8D82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DCE4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8F9A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AF57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1AB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EDE8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D0AD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TX-1也称为1型胶原羧基端交联端肽或I型胶原端肽的C端，是骨质疏松和骨吸收的标志物。CTX-1是一种常见的骨转换标记物（BTM），可以在血浆、血清或尿液中轻松测量。骨转换是指通过吸收去除旧骨，然后生成新骨。CTX-1通过组织蛋白酶K裂解从完整的1型胶原中释放，并可通过针对八个氨基酸序列EKAHDGGR的抗体检测到。CTX-1的水平显示出昼夜节律的变化受食物摄入的影响，这使得样本采集的时间成为一个重要的考虑因素，通常在禁食状态下进行。</w:t>
      </w:r>
    </w:p>
    <w:p w14:paraId="5626FABF">
      <w:pPr>
        <w:ind w:firstLine="441" w:firstLineChars="0"/>
        <w:rPr>
          <w:rFonts w:hint="default" w:ascii="Times New Roman" w:hAnsi="Times New Roman" w:cs="Times New Roman"/>
        </w:rPr>
      </w:pPr>
    </w:p>
    <w:p w14:paraId="404F4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29F3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1534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72CD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27DE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FC6A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CA89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5509B5">
      <w:pPr>
        <w:rPr>
          <w:rFonts w:hint="default" w:ascii="Times New Roman" w:hAnsi="Times New Roman" w:cs="Times New Roman"/>
        </w:rPr>
      </w:pPr>
      <w:r>
        <w:rPr>
          <w:rFonts w:hint="default" w:ascii="Times New Roman" w:hAnsi="Times New Roman" w:cs="Times New Roman"/>
        </w:rPr>
        <w:br w:type="page"/>
      </w:r>
    </w:p>
    <w:p w14:paraId="12A7D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E456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1418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F9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D96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325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CC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017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FFB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870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49F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3A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0F2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6FB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EE4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346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2E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50D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6A3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057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BBA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58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3C1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618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F7C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F2E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148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3A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552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E05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978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E6E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A5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8F3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899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B6A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F05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59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500D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7029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3E1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C66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53E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96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0CB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F153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E12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F21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B79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6E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480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477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4D6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B98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188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F1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7A6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7B6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927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642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0D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A12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CB0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3EE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92A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A8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931D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F1F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1D4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1E9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DC67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D326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F98A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C32D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FAE3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2F37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9960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1A26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2736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1B2B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4A5B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9ACD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F007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10C3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F5DF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9AD6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A461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69ED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B22D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08E3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099B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290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B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502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D3B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FA6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1C5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74D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34D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2C2B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A6D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124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342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E40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34C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664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DD9D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863C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AD97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179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E36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32E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622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2A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1B8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CF8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FD8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5DB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1E9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A13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7A66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591A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0037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FCE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9372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C84F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A7C4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E2BA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8E5B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81FC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B264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FE2D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9A19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E587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2C7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5E29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4A3C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6D28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E12FE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09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574A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185E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21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B79C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3F9A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0E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7BA0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EF78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73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1ABC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159C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E87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655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47C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F4F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4EA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E4E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BE9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A92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D73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0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56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EE5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17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50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CA8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BA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71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C8D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B2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E0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F22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C0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2C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883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72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00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91D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9F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8A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EBE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05A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4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6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C2C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F0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71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FF6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E4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09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779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92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7E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E95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0C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68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FB6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97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CB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FB2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86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BB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BC2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1C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DC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FEC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95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AE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09F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BC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29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2AD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9E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0B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7FA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C9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89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970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C145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9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BB4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5F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27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C0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1E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6A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47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96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6A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D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9B4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03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4A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B31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14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A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1D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BEA1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0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15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42D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13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7F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9F7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76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7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B8A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2E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3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A30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3E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EE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C6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F0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F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83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FD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1E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DEA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BD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D5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817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06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C3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BBF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4D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6D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D8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FC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2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046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A5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D7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22A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48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CF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DF4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76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B8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3FC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EDE1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321F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0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0745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3F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49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43D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21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1F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C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45B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0E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B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53C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17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65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97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2D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51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1D1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7D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2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03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F53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2C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0C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81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7E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81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FCB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B2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4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623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0B09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F43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5D6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FAE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660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BAC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4FD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5DC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0A2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440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2B5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C5E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7F6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492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984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170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39F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D458E5">
      <w:pPr>
        <w:rPr>
          <w:rFonts w:hint="default" w:ascii="Times New Roman" w:hAnsi="Times New Roman" w:cs="Times New Roman"/>
          <w:sz w:val="22"/>
          <w:szCs w:val="22"/>
        </w:rPr>
      </w:pPr>
    </w:p>
    <w:p w14:paraId="7ED88E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477F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CTX-1 Elisa Kit</w:t>
      </w:r>
    </w:p>
    <w:p w14:paraId="35D2FB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3CF0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CA04B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6C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8CB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F11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435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7F8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A7B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CA4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D93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91F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C2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312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E3DD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0467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C48B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EC54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3DAD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3AD1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E9B3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969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7181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F49E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4D75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9E1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FFD7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A0A2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CTX-1, also referred to as either carboxy-terminal cross-linked telopeptide of type 1 collagen or C-terminal end of the telopeptide of type I collagen, is a marker of osteoporosis and bone resorption (1,2). CTX-1 is a common bone turnover marker (BTM) that can easily be measured in the plasma, serum, or urine (1-3). Bone turnover refers to the removal of old bones by resorption followed by generation of new bones (3). CTX-1 is released from intact collagen type 1 by cathepsin K cleavage and can be detected by an antibody against the eight amino acid sequence EKAHDGGR (2,4). Levels of CTX-1 show circadian rhythm variabilities altered by food intake, which makes timing of sample collection an important consideration and is typically done in a fasted state (1,3).</w:t>
      </w:r>
    </w:p>
    <w:p w14:paraId="698B13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ED99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CD03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7C4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191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95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814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28C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1A9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9563EF">
      <w:pPr>
        <w:rPr>
          <w:rFonts w:hint="default" w:ascii="Times New Roman" w:hAnsi="Times New Roman" w:cs="Times New Roman"/>
          <w:b/>
          <w:bCs/>
          <w:sz w:val="28"/>
          <w:szCs w:val="28"/>
        </w:rPr>
      </w:pPr>
    </w:p>
    <w:p w14:paraId="0906E12C">
      <w:pPr>
        <w:rPr>
          <w:rFonts w:hint="default" w:ascii="Times New Roman" w:hAnsi="Times New Roman" w:cs="Times New Roman"/>
          <w:b/>
          <w:bCs/>
          <w:sz w:val="28"/>
          <w:szCs w:val="28"/>
        </w:rPr>
      </w:pPr>
    </w:p>
    <w:p w14:paraId="6B8E0724">
      <w:pPr>
        <w:rPr>
          <w:rFonts w:hint="default" w:ascii="Times New Roman" w:hAnsi="Times New Roman" w:cs="Times New Roman"/>
          <w:b/>
          <w:bCs/>
          <w:sz w:val="28"/>
          <w:szCs w:val="28"/>
        </w:rPr>
      </w:pPr>
    </w:p>
    <w:p w14:paraId="747379A9">
      <w:pPr>
        <w:rPr>
          <w:rFonts w:hint="default" w:ascii="Times New Roman" w:hAnsi="Times New Roman" w:cs="Times New Roman"/>
          <w:b/>
          <w:bCs/>
          <w:sz w:val="28"/>
          <w:szCs w:val="28"/>
        </w:rPr>
      </w:pPr>
    </w:p>
    <w:p w14:paraId="32F015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76A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27BD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858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08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563C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5B3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29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248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3D2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DB4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E6B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1E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16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A1F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1EC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808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1D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71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332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306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234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3B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C8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13F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5C7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D8F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7D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848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ED3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4EA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AA0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79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8D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A04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3AF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7B7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B8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DF86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DF3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153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9FF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41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3E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53F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DEE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341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2B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6B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D91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0BC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1E8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A5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19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6DC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72C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01F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E6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25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D3E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CE6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268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B5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EF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846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667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577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C22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323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BFE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054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25A6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9F7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237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5BA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4560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5049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25BB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14E1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A4F9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52B6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96D4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0738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F915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6F9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E6AA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3583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743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C69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8A6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B61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559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E68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F25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E00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11D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AF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5964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122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3E7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0BD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4F9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075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430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17C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39D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1A6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83A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A23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C157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69E8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8EA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1B2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DE1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949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D65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127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1ED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C2A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496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091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394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8B7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298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256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58C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E43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E16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A9A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272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D81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E82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94E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E6F3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DBB2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25B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33D0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4D79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6F51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687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55D5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B96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94C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FF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9CB0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5EDE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9B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8623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CB6B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8DC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7501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EB8A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38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CE0B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EA89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E58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038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AD4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15A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973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3A9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DC5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886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400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B405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D2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4B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03D6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10C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881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D0E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7B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08D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EAB8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D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71C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D6E5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73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45B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A1AA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B6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482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D5B4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1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4FF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D13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192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8E2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1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8E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384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D5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0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CF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F8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311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92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C1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1E1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25E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57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0C4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B54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A4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353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FAC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6B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B89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9E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E4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E71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EE6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A9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665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BD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CC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B75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70F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B8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BD2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83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D1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323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8A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9A1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5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F9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9F5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CE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A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8AC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E3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C2BF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E8C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A2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EB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BC2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35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5B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CCA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C5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33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93B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362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4A6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7A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CE2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64D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69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00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F1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9F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1E5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0C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7C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6A5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34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F9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6B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741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25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3A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8C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5E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25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98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0C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BC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29D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40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67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067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05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E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985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03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DD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D08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61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E4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FFD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F1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19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54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00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10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D60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67F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501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D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6FC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52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D2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5B2B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15D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12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64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5FB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D6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7B0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DBF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33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90D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D60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67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F8B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02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81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AF9E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8E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D1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0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0B7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8B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D8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7B0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33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2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9D7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A65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303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E10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95C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7EF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FE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3C7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A3B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9F7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47A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078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CEE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95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E73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81D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FFE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30E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B7B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ADF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1ADF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02E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D8DFFB">
    <w:pPr>
      <w:pStyle w:val="6"/>
      <w:jc w:val="both"/>
    </w:pPr>
  </w:p>
  <w:p w14:paraId="00D9B1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D7A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F57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3F036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7207</Words>
  <Characters>10306</Characters>
  <Lines>251</Lines>
  <Paragraphs>70</Paragraphs>
  <TotalTime>2</TotalTime>
  <ScaleCrop>false</ScaleCrop>
  <LinksUpToDate>false</LinksUpToDate>
  <CharactersWithSpaces>10818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