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40CCF4">
      <w:pPr>
        <w:pStyle w:val="2"/>
        <w:bidi w:val="0"/>
        <w:jc w:val="center"/>
        <w:rPr>
          <w:rFonts w:hint="default" w:ascii="Times New Roman" w:hAnsi="Times New Roman" w:cs="Times New Roman"/>
          <w:b/>
          <w:bCs w:val="0"/>
          <w:sz w:val="36"/>
          <w:szCs w:val="36"/>
        </w:rPr>
      </w:pPr>
      <w:r>
        <w:rPr>
          <w:rFonts w:hint="eastAsia"/>
          <w:b/>
          <w:bCs/>
          <w:sz w:val="36"/>
          <w:szCs w:val="36"/>
        </w:rPr>
        <w:t>Human TNF RⅠ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62D9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0AD3EA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17E674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70D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D489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4CC4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08F1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92BF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F703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68F8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63CD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9BB5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A1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A516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8E3D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DEE90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F06B2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ADC95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217BC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7C5DC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6267A2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DF4F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D8FF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269A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3D4C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68CE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A44F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DB1B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NFsRI（也称为Solube肿瘤坏死因子受体1）是一种结合肿瘤坏死因子（TNF）的细胞因子受体。相反，在没有配体的情况下，p60（TNFRSF1A）和p80（TNFRSF1B）TNFA受体通过TNFR胞外域中一个独特的功能域自组装，称为前配体组装域（PLAD）。PLAD的缺失导致p60或p80的单体呈现。流式细胞术分析表明，有效的TNFA结合依赖于受体的自组装。他们还发现TNF受体超家族的其他成员，包括TRAIL（TNFRSF10A）、CD40和FAS（TNFRSF6）的胞外结构域，都是自结合的，但不与异源受体相互作用。</w:t>
      </w:r>
    </w:p>
    <w:p w14:paraId="773115E6">
      <w:pPr>
        <w:ind w:firstLine="441" w:firstLineChars="0"/>
        <w:rPr>
          <w:rFonts w:hint="default" w:ascii="Times New Roman" w:hAnsi="Times New Roman" w:cs="Times New Roman"/>
        </w:rPr>
      </w:pPr>
    </w:p>
    <w:p w14:paraId="03194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D3FC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445A8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7363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C1C9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000D2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DB9D3E">
      <w:pPr>
        <w:rPr>
          <w:rFonts w:hint="default" w:ascii="Times New Roman" w:hAnsi="Times New Roman" w:cs="Times New Roman"/>
        </w:rPr>
      </w:pPr>
      <w:r>
        <w:rPr>
          <w:rFonts w:hint="default" w:ascii="Times New Roman" w:hAnsi="Times New Roman" w:cs="Times New Roman"/>
        </w:rPr>
        <w:br w:type="page"/>
      </w:r>
    </w:p>
    <w:p w14:paraId="68BD4E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46F6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32E6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BE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759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79D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BC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4A4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046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C54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F23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377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C0F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99F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AFC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9C6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D0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60C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EB6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926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3A6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A0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A89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ED6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113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1D4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DE3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AC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F955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9A1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1F5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833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B7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8401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126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6D7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E28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D4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D55B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C1AC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278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341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373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4E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0949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F780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DB1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128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4FE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0F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063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CAB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B70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C5B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2D6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91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A3C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754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686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563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AFF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4F2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2DB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FA8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F0F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39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B9BC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BC7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C09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9CB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145B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4778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89658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C841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FEE6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6BDD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9A38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0781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5351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6B65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4EA0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8F71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2F1B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B840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9150A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638A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1288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44B5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93B7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6E1F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6238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668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0C2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F0D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0DC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39B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02E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892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A48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49DF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571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E25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D90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69E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3EA1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5DA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024B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332A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C446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196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96F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CA2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231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FA8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F26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6A3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048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6B9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0F8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F06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EAB5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77D4D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2001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F58D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D7A0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7850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4482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BBEC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A4D30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5031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A0E6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6796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8EBC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99CF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1A6A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5262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B2552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0F66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B7F55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0E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BB1D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D032E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7A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6521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52A0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629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8442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7CF32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EF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21B8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D793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BD8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A4C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05D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85F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F32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C37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8A61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E45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4B3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89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D3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580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9E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DB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C67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4E2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84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F42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4FE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CC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A19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E5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70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228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52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A2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BE1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09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40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F58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421C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42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F1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BBA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B9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4A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CDD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6C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E8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2A5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52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90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D75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43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24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C84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F2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48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75F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0AF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8C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36B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A1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10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CE8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76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15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8D7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FA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82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076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92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02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8267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E3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DA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629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E3B1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B7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796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1B5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43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7A3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1CD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2D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B4B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023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ED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2D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B66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0DA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4D4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C51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D9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812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260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A910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942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D53D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230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79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20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EEA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DE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078C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F74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98B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3B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9F6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DD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86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8DF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B8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31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793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B2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2C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9B0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9E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C7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FA9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2E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C1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8A2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A3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F3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49D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63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5E69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0CE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264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0C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07B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54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FD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1A6B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D04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E9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3FB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B33E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B133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14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23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95F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40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16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848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9D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50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D0C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82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6B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A03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6A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79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439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2A9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EB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0D91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A1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8F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E29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C68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042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52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771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C7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65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4FC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928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50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561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DB6C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7065D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244A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1766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6333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32D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A3400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3E49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949A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B559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71FE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5BD2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C31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71F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F36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D63E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D836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44B96E">
      <w:pPr>
        <w:rPr>
          <w:rFonts w:hint="default" w:ascii="Times New Roman" w:hAnsi="Times New Roman" w:cs="Times New Roman"/>
          <w:sz w:val="22"/>
          <w:szCs w:val="22"/>
        </w:rPr>
      </w:pPr>
    </w:p>
    <w:p w14:paraId="0FEE00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4ED4C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 RⅠ Elisa Kit</w:t>
      </w:r>
    </w:p>
    <w:p w14:paraId="06BFB6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016C41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44C717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3D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6DB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674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D11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2EB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FC1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AF0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4C5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93A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06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52F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E161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8068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79F7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3680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2B0B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2EA98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AB25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6174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2ED1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E652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DABF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614B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3C6C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4486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w:t>
      </w:r>
      <w:r>
        <w:rPr>
          <w:rFonts w:hint="eastAsia" w:ascii="Times New Roman" w:hAnsi="Times New Roman" w:cs="Times New Roman"/>
          <w:sz w:val="24"/>
          <w:szCs w:val="24"/>
        </w:rPr>
        <w:t>TNFsRI(also known as Solube tumor necrosis factor receptor 1) is a cytokine receptor that binds tumor necrosis factors(TNF). In contrast, the p60(TNFRSF1A) and p80(TNFRSF1B) TNFA receptors self-assemble through a distinct functional domain in the TNFR extracellular domain, termed the pre-ligand assembly domain(PLAD), in the absence of ligand. Deletion of the PLAD results in monomeric presentation of p60 or p80. Flow cytometric analysis showed that efficient TNFA binding depends on receptor self-assembly. They also found that other members of the TNF receptor superfamily, including the extracellular domains of TRAIL(TNFRSF10A), CD40, and FAS(TNFRSF6), all self-associate but do not interact with heterologous receptors. By Southern blot analysis of human/Chinese hamster somatic cell hybrid DNA, the TNFR1 gene was mapped to 12pter-cen. And by nonradioactive in situ hybridization that the type 1 receptor(the p55 TNF receptor) is encoded by a gene located on chromosome 12p13.2.</w:t>
      </w:r>
    </w:p>
    <w:p w14:paraId="2A78D34C">
      <w:pPr>
        <w:rPr>
          <w:rFonts w:hint="default" w:ascii="Times New Roman" w:hAnsi="Times New Roman" w:eastAsia="宋体" w:cs="Times New Roman"/>
          <w:b/>
          <w:bCs/>
          <w:color w:val="000000"/>
          <w:kern w:val="0"/>
          <w:sz w:val="24"/>
          <w:szCs w:val="24"/>
          <w:lang w:val="en-US" w:eastAsia="zh-CN" w:bidi="ar"/>
        </w:rPr>
      </w:pPr>
    </w:p>
    <w:p w14:paraId="3F17510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354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0EC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125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2B7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467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03D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8BBCA2">
      <w:pPr>
        <w:rPr>
          <w:rFonts w:hint="default" w:ascii="Times New Roman" w:hAnsi="Times New Roman" w:cs="Times New Roman"/>
          <w:b/>
          <w:bCs/>
          <w:sz w:val="28"/>
          <w:szCs w:val="28"/>
        </w:rPr>
      </w:pPr>
    </w:p>
    <w:p w14:paraId="79E6E210">
      <w:pPr>
        <w:rPr>
          <w:rFonts w:hint="default" w:ascii="Times New Roman" w:hAnsi="Times New Roman" w:cs="Times New Roman"/>
          <w:b/>
          <w:bCs/>
          <w:sz w:val="28"/>
          <w:szCs w:val="28"/>
        </w:rPr>
      </w:pPr>
    </w:p>
    <w:p w14:paraId="0D55B930">
      <w:pPr>
        <w:rPr>
          <w:rFonts w:hint="default" w:ascii="Times New Roman" w:hAnsi="Times New Roman" w:cs="Times New Roman"/>
          <w:b/>
          <w:bCs/>
          <w:sz w:val="28"/>
          <w:szCs w:val="28"/>
        </w:rPr>
      </w:pPr>
    </w:p>
    <w:p w14:paraId="512EE426">
      <w:pPr>
        <w:rPr>
          <w:rFonts w:hint="default" w:ascii="Times New Roman" w:hAnsi="Times New Roman" w:cs="Times New Roman"/>
          <w:b/>
          <w:bCs/>
          <w:sz w:val="28"/>
          <w:szCs w:val="28"/>
        </w:rPr>
      </w:pPr>
    </w:p>
    <w:p w14:paraId="3A27866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CDB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6F85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FC1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16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16B9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82D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F1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438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837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F2E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230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A1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39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EE6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B21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40C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D5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B1F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794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555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2F8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870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6C9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028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725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36D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F9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820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17A0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87A0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594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3B0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29E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B47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5EC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92D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DB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7D81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A84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9B2F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872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C3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EF3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A7B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0E8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C1C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BA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6D4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594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6BE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2BB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D5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BA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FA5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522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FDC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D4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30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8DA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DA51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FA5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71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C7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D52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E9A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A58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6CB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49E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C23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3DE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C144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C26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DD5B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3BFC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A931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649E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CC3F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9343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B048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C2E5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C0E0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014E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FC22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53D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32AF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C7C2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8F7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EBCB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67B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FEE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838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155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0B9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C8B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2D6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D9F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478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076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99A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FD8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B84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DED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832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367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BFE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F8C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5A3F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5D2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8780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4492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CAE9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F48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ACD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878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845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EB8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EB4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11C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0D6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19F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F98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9EC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B87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01D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F9D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051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102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2A9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C6D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6FE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119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6BC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8985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92A9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8D01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FA35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6452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E155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313D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55FA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3A7B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5D2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09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DF22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D39E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5D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93B3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C0786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B60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B838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B389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41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E7A5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7D3A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EA6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841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53C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EE6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14B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183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7A0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6623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D14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6067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547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F69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AFAD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C46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FFE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9600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EA9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C4B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4F01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ACF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DE5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2E2B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568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019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EE4B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F14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A9B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4A33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D3B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D5FF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0E0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54C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F62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842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9C1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25B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AE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DBE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5D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DC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ADE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468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47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07E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A1E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4F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6E8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970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947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C4F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B35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073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984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EF6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40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557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C4B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AD0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26E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389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58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DDE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AE0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D9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969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8E3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F2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E96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61E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3DB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80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C23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729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A5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64B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AC0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AC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7062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80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9D8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923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183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934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FB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949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DD2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A78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C2F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292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8D2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F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992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936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F6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1B6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18F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A90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ED3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2FC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F7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0EB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D8D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A26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FB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EEB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1C5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95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EFA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8D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C3B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609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41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3CD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C15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EA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5BF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FF4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D3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14F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EC4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9C8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779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B25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1D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577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3C6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64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1DF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3E7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F8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449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859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B23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14F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D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E86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C12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8EB8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4443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9DE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93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0E8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95B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E0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84B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EF9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8D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5C4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95E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AC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E4A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EA3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2B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05D8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F59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89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33B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BEC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F8B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4EA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424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84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2F3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1413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B83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0B7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0E5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39C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F3A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E29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93F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CC7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434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31F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B06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FB2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DBB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AA4B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3B2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40E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43D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C762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CCE5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CCE5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137E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FC3839">
    <w:pPr>
      <w:pStyle w:val="6"/>
      <w:jc w:val="both"/>
    </w:pPr>
  </w:p>
  <w:p w14:paraId="23ABEA2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02EF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21B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4A7221"/>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7050</Words>
  <Characters>9425</Characters>
  <Lines>251</Lines>
  <Paragraphs>70</Paragraphs>
  <TotalTime>1</TotalTime>
  <ScaleCrop>false</ScaleCrop>
  <LinksUpToDate>false</LinksUpToDate>
  <CharactersWithSpaces>9745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2026-07-03T06:49:04Z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