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F95A1E">
      <w:pPr>
        <w:pStyle w:val="2"/>
        <w:bidi w:val="0"/>
        <w:jc w:val="center"/>
        <w:rPr>
          <w:rFonts w:hint="default" w:ascii="Times New Roman" w:hAnsi="Times New Roman" w:cs="Times New Roman"/>
          <w:b/>
          <w:bCs w:val="0"/>
          <w:sz w:val="36"/>
          <w:szCs w:val="36"/>
        </w:rPr>
      </w:pPr>
      <w:r>
        <w:rPr>
          <w:rFonts w:hint="eastAsia"/>
          <w:b/>
          <w:bCs/>
          <w:sz w:val="36"/>
          <w:szCs w:val="36"/>
        </w:rPr>
        <w:t>Human GDF-15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90BAB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1C214C7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34C256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2ADD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03CA2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3A4E9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897AE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95082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33AD7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D3D57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25251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760F5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D361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128D1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476EC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850FF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DAEBB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7A9BF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768BB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A2BF2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814D4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F79F4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9D502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62525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4E1D6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100C7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E149F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CC4F4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生长分化因子15（GDF-15），又称巨噬细胞抑制性细胞因子1（MIC-1）。MIC-1mRNA在单核细胞样细胞中的表达受多种与活化相关的刺激物上调，包括白细胞介素1β、肿瘤坏死因子α（TNF-α）、白细胞介素2和巨噬细胞集落刺激因子，而不是干扰素γ或脂多糖（LPS）。在正常和病理状态下，它在心肌细胞、脂肪细胞、巨噬细胞、内皮细胞和血管平滑肌细胞中高度表达。GDF-15在组织损伤和炎症状态下增加，并与心脏代谢风险相关。GDF-15水平升高与心血管疾病有关，如肥大、心力衰竭、动脉粥样硬化、内皮功能障碍、肥胖、胰岛素抵抗、糖尿病和糖尿病慢性肾病。GDF-15水平升高与病情进展和预后有关。</w:t>
      </w:r>
    </w:p>
    <w:p w14:paraId="461723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5E978B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82800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8F91B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507E5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30D546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089A16B">
      <w:pPr>
        <w:rPr>
          <w:rFonts w:hint="default" w:ascii="Times New Roman" w:hAnsi="Times New Roman" w:cs="Times New Roman"/>
        </w:rPr>
      </w:pPr>
      <w:r>
        <w:rPr>
          <w:rFonts w:hint="default" w:ascii="Times New Roman" w:hAnsi="Times New Roman" w:cs="Times New Roman"/>
        </w:rPr>
        <w:br w:type="page"/>
      </w:r>
    </w:p>
    <w:p w14:paraId="6249D8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8F674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A86D3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7879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2E085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07FA0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82F1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D6B1A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4C70E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E40E8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D3D13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5E4D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CE4E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953EC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25BD4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CB29B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3C33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4D8B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C4110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95A04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7C478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A8F7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3F54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6D331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9AD27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E339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1BDF8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B2A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3432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FF947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8DD77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E81C0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24FA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C53D2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42C4C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0A3A8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9E327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311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0199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A01EF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C2381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8BB44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91F2C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2702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F860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808F3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3009B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0FC3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8525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83E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4581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AD4D5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752AA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F8A1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809BF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82F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B9DA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E1EA2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BD0E0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474C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D547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9432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DBD98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76F41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74428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5A86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4A362B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8C64C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2D986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5DAF5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4B9394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97B25C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B22445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D70E38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597647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ABB9F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B03C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2D61E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DB7BB5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C179F0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BC910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52A44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2B9D0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180739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68C1F8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29993C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9D9C3C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A662FD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78031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B07FC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5415A7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FE27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2A0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D89D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C064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42A4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F319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E5D1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CE38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FDE08B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82EC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92D4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3A9F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D3F9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2CE3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DC45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7F7ED6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4B96D2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A51A00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51996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4356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1509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5712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D820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AF34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A805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3E90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00A5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CC6E0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271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19540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AC1FED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07637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36FE8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83B43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C5121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C509D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5E8AA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CC75FA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28E72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B3F66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7D59D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B1F7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776EB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EF39C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91A47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7F5FF9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8B65F0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0DC7CA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4627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C1719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F7C768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CA6E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C388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9AE96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ECD2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19F0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FD703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5CD3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9B7B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C9A1F6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6F33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4DB4D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55C2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AEF13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CF4E6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ACA1F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85DC5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9DE8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9E1A5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454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CF8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50CEC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43A4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0317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FC0AF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CF4E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F53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0851F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3970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009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71207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BADA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29FF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F7E49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56B0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9D8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3B9FB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71D3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3FC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B07B3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5DBFF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651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8A8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E98AE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492A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91A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8BBF9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68E4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820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1C64D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A9AF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F8B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7CDD8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8286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183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460D6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EFF0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302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66BCC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1EE6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B85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223BF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28C1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0B63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6F4A5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99E6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8EA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C1C15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544A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8F0D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BDF4C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9AAE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F86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CA574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FF45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3A8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6F7F8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F6F8F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A62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204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443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35C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EEC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1FF8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ACBA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23E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310F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3EF7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113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3B13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96DC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A44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BAFC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5149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E32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39D8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2A47F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0A9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11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142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668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75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D448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8546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FC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FA5A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5C52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DBF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A3DA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4688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A2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5B39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94B4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748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1B67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137D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44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C8F8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7522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E8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13B2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1F7D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088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54D3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8DCA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2A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BEFB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91A8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4E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F500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6427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E10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E586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1098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04E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0186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FD93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43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4067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A7CCB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192A3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FF9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87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4AB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71B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88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DE5C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E5FA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3A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6DD3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D41B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9F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197D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AEFA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BA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2591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050F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AD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AC06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C937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82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C8ED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5A1C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9002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E2A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0263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D304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EA2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C8CA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6680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3B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E6CB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A72D6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E3237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FD92F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64B5A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CA470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EB547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C193A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E7A90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E9BF2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F13D8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A9816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42913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54F23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4A833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C8CF2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F80EE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A452B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EBC2BA8">
      <w:pPr>
        <w:rPr>
          <w:rFonts w:hint="default" w:ascii="Times New Roman" w:hAnsi="Times New Roman" w:cs="Times New Roman"/>
          <w:sz w:val="22"/>
          <w:szCs w:val="22"/>
        </w:rPr>
      </w:pPr>
    </w:p>
    <w:p w14:paraId="66BF69A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582ED9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GDF-15 Elisa Kit</w:t>
      </w:r>
    </w:p>
    <w:p w14:paraId="36FAEE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375274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21C2E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DBF1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CBCAA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DE8D5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2FD05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7B6FD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F4A1D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ECD8C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12A46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D2FB1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6589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64C6D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5FF66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1BDF8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EC0D2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A696B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D91A0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DFB53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D1410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17057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6566A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9E03C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615CA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71E4F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C0C16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D085C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Growth Differentiation Factor 15 (GDF-15), also called Macrophage Inhibitory Cytokine 1 (MIC-1). Expression of MIC-1 mRNA in monocytoid cells is up-regulated by a variety of stimuli associated with activation, including interleukin 1β, tumor necrosis factor α (TNF-α), interleukin 2, and macrophage colony-stimulating factor but not interferon γ, or lipopolysaccharide (LPS). It is highly expressed in cardiomyocytes, adipocytes, macrophages, endothelial cells, and vascular smooth muscle cells in normal and pathological condition. GDF-15 increases during tissue injury and inflammatory states and is associated with cardiometabolic risk. Increased GDF-15 levels are associated with cardiovascular diseases such as hypertrophy, heart failure, atherosclerosis, endothelial dysfunction, obesity, insulin resistance, diabetes, and chronic kidney diseases in diabetes. Increased GDF-15 level is linked with the progression and prognosis of the disease condition.</w:t>
      </w:r>
    </w:p>
    <w:p w14:paraId="17C0923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0EB98E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34FA76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9D42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EE97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901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43A5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3871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A07A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3F5F54E">
      <w:pPr>
        <w:rPr>
          <w:rFonts w:hint="default" w:ascii="Times New Roman" w:hAnsi="Times New Roman" w:cs="Times New Roman"/>
          <w:b/>
          <w:bCs/>
          <w:sz w:val="28"/>
          <w:szCs w:val="28"/>
        </w:rPr>
      </w:pPr>
    </w:p>
    <w:p w14:paraId="5FBCDD36">
      <w:pPr>
        <w:rPr>
          <w:rFonts w:hint="default" w:ascii="Times New Roman" w:hAnsi="Times New Roman" w:cs="Times New Roman"/>
          <w:b/>
          <w:bCs/>
          <w:sz w:val="28"/>
          <w:szCs w:val="28"/>
        </w:rPr>
      </w:pPr>
    </w:p>
    <w:p w14:paraId="7D2F55E2">
      <w:pPr>
        <w:rPr>
          <w:rFonts w:hint="default" w:ascii="Times New Roman" w:hAnsi="Times New Roman" w:cs="Times New Roman"/>
          <w:b/>
          <w:bCs/>
          <w:sz w:val="28"/>
          <w:szCs w:val="28"/>
        </w:rPr>
      </w:pPr>
    </w:p>
    <w:p w14:paraId="7C14DF22">
      <w:pPr>
        <w:rPr>
          <w:rFonts w:hint="default" w:ascii="Times New Roman" w:hAnsi="Times New Roman" w:cs="Times New Roman"/>
          <w:b/>
          <w:bCs/>
          <w:sz w:val="28"/>
          <w:szCs w:val="28"/>
        </w:rPr>
      </w:pPr>
    </w:p>
    <w:p w14:paraId="2E4D97F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61FE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EEB78F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757E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5B05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045B7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2494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26A8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14F28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87A36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7D777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3EA3F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E2D2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1669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0C829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832B4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FFF8C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D317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16C8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749BD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FA17A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5CCAB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5A12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FF4A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2A17D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5893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90C36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6A4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187C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37A82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D5689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B8FB8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6C27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8FC9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368BA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F4C9C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8373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7E1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F837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92311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810D8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035D5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56BC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8541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1F2A0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C106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B17BB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3FB5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F680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469BF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F005A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AB0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C9D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2705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6CD39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9C568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CDDE3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50AD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4A10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6D56A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867C2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44BE4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50E6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737A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7218D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4B25A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75332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65D2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29C5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C000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89BEC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388D3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CE3AA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B123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B7D1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2D1D28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DABA02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13F56A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EAABF4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DE0821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CB80C4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D76AE2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553A70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84F0B3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EB7A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CFB55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D3B8C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641D1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319B0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9D36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A0F2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5D81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9E0C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BEE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3095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4A09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8258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E4545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E1139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C659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731B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4D2F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64C2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6376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35F0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92338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A6124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BDBA3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274E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44C87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414B5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AAA9E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0224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7A1E0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653C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C37B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35A1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59D9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932E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F927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A862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8BB8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50437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5BAC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9DDD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968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79DE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20DC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7D46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3D9B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FC42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6905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1413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2F5F9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A3ECD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87C07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68C39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FB584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E79D18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061F8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9739C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44E31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3A5F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B419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30AE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2433C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CC55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2B7F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DE80C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2610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C2DC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4E31E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E223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E8FC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F0BD7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E75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0079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8038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E03A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B5AF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62BB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05ED8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08BC0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ACF30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8F0BC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40C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7735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42B5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4BC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1FBE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29975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3F2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E309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2DE1F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556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C9AC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415DF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0D1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B9C8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838CD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065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88F5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EFEDF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D5D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B737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12844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9BA6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D45D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8A6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CF0B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5B9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E28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E37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53A5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B319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F32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802D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C5D6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0F3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BF09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D531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FCE5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417F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6D76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F71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B883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43A0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B7D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0A82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FD1D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10D3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7EF4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6755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9BB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3A3C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130A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77C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39A1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BA03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BC0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35E3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ED5E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396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9982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B1FA4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FA4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981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9CF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218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3FE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9857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A8EF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82D01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4CFC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90A8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C9FF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ACD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DA22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7074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722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36C2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6423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D683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0EB7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D1E34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AA1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2F6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414A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13B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2E8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AC56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D9CD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85AF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C7E5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7621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453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E767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76A2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068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019D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4481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04E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0CD0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E667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1E9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1E14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E76D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573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7F96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43B6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9C5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5322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C132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DC9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D1E1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680A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77B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B54B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4034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72C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92BB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5450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B54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23A2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6232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04E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EC36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A86B0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95E57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5AF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EB35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D75D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9BD5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200F3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24BE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356A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F5F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0AD7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E30E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323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8F9A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86E3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60A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C857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6CE8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55E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BD2E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D2F8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6F669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4E5E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5DA0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9A9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6141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389D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05B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17BC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E617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A38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E0C7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6E3B6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8905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6CDD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B45B3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24307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F927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076D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192D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42F7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13CC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4054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AEB1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EE1B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8817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707E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BB2A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35A3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F821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9A710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C9A710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CA10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8DBD2F1">
    <w:pPr>
      <w:pStyle w:val="6"/>
      <w:jc w:val="both"/>
    </w:pPr>
  </w:p>
  <w:p w14:paraId="466B2C4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555D2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13D3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B417518"/>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7481</Words>
  <Characters>11773</Characters>
  <Lines>251</Lines>
  <Paragraphs>70</Paragraphs>
  <TotalTime>1</TotalTime>
  <ScaleCrop>false</ScaleCrop>
  <LinksUpToDate>false</LinksUpToDate>
  <CharactersWithSpaces>12467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2026-07-06T07:17:10Z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