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8FCE7">
      <w:pPr>
        <w:pStyle w:val="2"/>
        <w:bidi w:val="0"/>
        <w:jc w:val="center"/>
        <w:rPr>
          <w:rFonts w:hint="default" w:ascii="Times New Roman" w:hAnsi="Times New Roman" w:cs="Times New Roman"/>
          <w:b/>
          <w:bCs w:val="0"/>
          <w:sz w:val="36"/>
          <w:szCs w:val="36"/>
        </w:rPr>
      </w:pPr>
      <w:r>
        <w:rPr>
          <w:rFonts w:hint="eastAsia"/>
          <w:b/>
          <w:bCs/>
          <w:sz w:val="36"/>
          <w:szCs w:val="36"/>
        </w:rPr>
        <w:t>Human CXCL7/PBP/Beta TG/nap-2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C05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4E66E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2D404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25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01D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163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F571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0CE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FDF6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AFA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CEE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FC8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B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B21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B7E9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BBA8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995EA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2E10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A219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619F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4E50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8175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D608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DE5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48A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98B0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DBC7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BE7B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类趋化因子（C-X-C基序）配体7（CXCL7），也称为中性粒细胞激活肽2（NAP-2），是包含ELR结构域（Glu-Leu-Arg三肽基序）的CXC趋化因子的成员。CXCL7结合CXCR2，吸引和激活中性粒细胞。CXCL7，结缔组织激活蛋白III（CTAPII）和β凝血蛋白（βTG），是在人类血小板α颗粒中发现的血小板碱性蛋白（PBP）的羧基末端片段，经过蛋白质水解处理。尽管CTAPIII、βTG和PBP代表NAP2的氨基末端延伸变体，并具有相同的CXC趋化因子结构域，但这些蛋白质不具有CXCL7/NAP2活性。CXCL7通过G蛋白连接受体CXCR-2诱导细胞迁移。</w:t>
      </w:r>
    </w:p>
    <w:p w14:paraId="16FD18E2">
      <w:pPr>
        <w:ind w:firstLine="441" w:firstLineChars="0"/>
        <w:rPr>
          <w:rFonts w:hint="default" w:ascii="Times New Roman" w:hAnsi="Times New Roman" w:cs="Times New Roman"/>
        </w:rPr>
      </w:pPr>
    </w:p>
    <w:p w14:paraId="184F4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ADE5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129E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9F2B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776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5ADA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A4A556">
      <w:pPr>
        <w:rPr>
          <w:rFonts w:hint="default" w:ascii="Times New Roman" w:hAnsi="Times New Roman" w:cs="Times New Roman"/>
        </w:rPr>
      </w:pPr>
      <w:r>
        <w:rPr>
          <w:rFonts w:hint="default" w:ascii="Times New Roman" w:hAnsi="Times New Roman" w:cs="Times New Roman"/>
        </w:rPr>
        <w:br w:type="page"/>
      </w:r>
    </w:p>
    <w:p w14:paraId="131C6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956F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9A69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5F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01D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7E4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79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64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0B2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354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88E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32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B5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FA7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860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63D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46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193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1EF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664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66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DD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9D8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B68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15A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9D4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D26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FE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54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2D1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05B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2EE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D1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FEC5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35B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A9E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B32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C8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E301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5BE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8E8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16C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5B1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18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24F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B666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7E9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146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8C8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5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99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24A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935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A66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85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00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925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29B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FD5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C20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BA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FFE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6FC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653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BA1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5760E0">
        <w:tblPrEx>
          <w:tblCellMar>
            <w:top w:w="0" w:type="dxa"/>
            <w:left w:w="108" w:type="dxa"/>
            <w:bottom w:w="0" w:type="dxa"/>
            <w:right w:w="108" w:type="dxa"/>
          </w:tblCellMar>
        </w:tblPrEx>
        <w:trPr>
          <w:trHeight w:val="567" w:hRule="atLeast"/>
        </w:trPr>
        <w:tc>
          <w:tcPr>
            <w:tcW w:w="3969" w:type="dxa"/>
            <w:shd w:val="clear" w:color="auto" w:fill="auto"/>
            <w:vAlign w:val="center"/>
          </w:tcPr>
          <w:p w14:paraId="7511A8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E7D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D1B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46C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2A06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0373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F30B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9B2C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F4F9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7A09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CC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963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B439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787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DDB2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877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A244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404E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F537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B89F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1F73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E8D8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21D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8EA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7C06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363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8C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2D0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53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B4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86D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81E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C80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E6CA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D1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1E8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0D2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689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48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917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FB83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E8E0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529D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F9A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344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C25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5F5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E90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2A4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B53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48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D1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D68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F67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169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C10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DB6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C949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71FB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9038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98F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F0B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1601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631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391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62C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41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14ED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22F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A52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06C7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2ACF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38CB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D8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632B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73EE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38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64EA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2500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A7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8794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6371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5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F971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7914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C76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D93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EAB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9EC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B2B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D93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A04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6C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06C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1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1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5C4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31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B2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B24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D4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EF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FC5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99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1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8BC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0C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2A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2E9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E7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3E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320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D7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87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72E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B20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8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5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035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D8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F8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C49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14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E6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540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25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56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D61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EF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E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F31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BB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9C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931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D1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71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D25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9B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D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6F5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9E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0F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9F7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69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FD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450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CA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01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039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FA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A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966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EC1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D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F7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66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E7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24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8A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40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6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50C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66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D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8A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A6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2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93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74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2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AE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1CB5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7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F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B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AE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4E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2C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FA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677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F9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7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15A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6C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1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031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E0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D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95E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B6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F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816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A2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0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26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2F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F3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ED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DB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5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EB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70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AA0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DD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D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B1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81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87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D0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4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74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1109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E003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B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7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8A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E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F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D48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0B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9FB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FC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D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A1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14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4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20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99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A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CD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3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951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6DD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1C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0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3D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97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611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22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44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18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6CD5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B70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7CC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89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C13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500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843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1A1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ADE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2A3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D61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281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DF3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A62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2FB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A30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9B2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884691">
      <w:pPr>
        <w:rPr>
          <w:rFonts w:hint="default" w:ascii="Times New Roman" w:hAnsi="Times New Roman" w:cs="Times New Roman"/>
          <w:sz w:val="22"/>
          <w:szCs w:val="22"/>
        </w:rPr>
      </w:pPr>
    </w:p>
    <w:p w14:paraId="386215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46A5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CXCL7/PBP/Beta TG/nap-2 Elisa Kit</w:t>
      </w:r>
    </w:p>
    <w:p w14:paraId="78AAB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97B0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0A9B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F0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3B4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7C1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F34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74E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D0E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1AD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4A3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748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9E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C39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B5FE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811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8C56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D0AE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0723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B5AA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BF21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D49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48D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9D0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514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F60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5E5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3E9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Chemokine (C-X-C motif) Ligand 7 (CXCL7), also known as neutrophil activating peptide 2 (NAP-2), is a member of the CXC chemokines containing an ELR domain (Glu-Leu-Arg tripeptide motif). Similar to other ELR domain containing CXC chemokines, such as IL-8 and the GRO proteins, CXCL7 binds CXCR2, chemoattracts and activates neutrophils. CXCL7, Connective Tissue Activating Protein III (CTAPIII) and βthrombogulin (βTG), are proteolytically processed carboxylterminal fragments of platelet basic protein (PBP) which is found in the alphagranules of human platelets. Although CTAPIII, βTG, and PBP represent amino-terminal extended variants of NAP2 and possess the same CXC chemokine domains, these proteins do not exhibit CXCL7/NAP2 activity. CXCL7 induces cell migration through the G-protein-linked receptor CXCR-2.</w:t>
      </w:r>
    </w:p>
    <w:p w14:paraId="53A88C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7FBA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6BD4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53A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AC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A8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9DF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463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BF5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469370">
      <w:pPr>
        <w:rPr>
          <w:rFonts w:hint="default" w:ascii="Times New Roman" w:hAnsi="Times New Roman" w:cs="Times New Roman"/>
          <w:b/>
          <w:bCs/>
          <w:sz w:val="28"/>
          <w:szCs w:val="28"/>
        </w:rPr>
      </w:pPr>
    </w:p>
    <w:p w14:paraId="4D512AA6">
      <w:pPr>
        <w:rPr>
          <w:rFonts w:hint="default" w:ascii="Times New Roman" w:hAnsi="Times New Roman" w:cs="Times New Roman"/>
          <w:b/>
          <w:bCs/>
          <w:sz w:val="28"/>
          <w:szCs w:val="28"/>
        </w:rPr>
      </w:pPr>
    </w:p>
    <w:p w14:paraId="47A20B36">
      <w:pPr>
        <w:rPr>
          <w:rFonts w:hint="default" w:ascii="Times New Roman" w:hAnsi="Times New Roman" w:cs="Times New Roman"/>
          <w:b/>
          <w:bCs/>
          <w:sz w:val="28"/>
          <w:szCs w:val="28"/>
        </w:rPr>
      </w:pPr>
    </w:p>
    <w:p w14:paraId="6EB83F96">
      <w:pPr>
        <w:rPr>
          <w:rFonts w:hint="default" w:ascii="Times New Roman" w:hAnsi="Times New Roman" w:cs="Times New Roman"/>
          <w:b/>
          <w:bCs/>
          <w:sz w:val="28"/>
          <w:szCs w:val="28"/>
        </w:rPr>
      </w:pPr>
    </w:p>
    <w:p w14:paraId="418712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AAB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201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542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E5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391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BD7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65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FFF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439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6AF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A5B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C2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EA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911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48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D86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29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5C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C4B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0A3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230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D4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AB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6B8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91F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316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90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F8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552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FC3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3B5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49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3B6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934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5B0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615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B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C8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FBD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6B07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23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7E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EF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076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876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96E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35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B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0A1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EDC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EE7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2E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84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A3D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37E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770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4A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AC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784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FD0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158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27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E5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5E9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A2C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38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4C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EB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2F4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058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A84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D3F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C6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387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DC12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EB88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F969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3CB2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F5E1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9C11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6D20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BD4E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6C54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D21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AB19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C0A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97E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814F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99D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2B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74A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20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405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93D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D8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55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851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380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D15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F0E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636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A68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C6A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45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E14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5B8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E78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85B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3A63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BD5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F19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0EB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02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BB0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4B2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337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F1C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CE6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735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90C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47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567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AF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B18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0DD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BF3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8C2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6D4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F80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E9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255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43A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D2D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B0D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804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39F4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19E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049A4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ECA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7E26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88C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04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EB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B0B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9A4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1D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CB3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5FF0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F2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F7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1D50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6D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ED3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F68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78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0D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D43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FD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14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2B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DB9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D17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6A2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4E3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5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03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76AB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98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16A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C330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6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F11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8AC2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F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C9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BC63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0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4AE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57DD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F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7C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198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2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FE3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59A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F45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3A6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F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15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42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C4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A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31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ED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4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0C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37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A1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92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DB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38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5B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00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9A0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C9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17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9A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9E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36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17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B1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9B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2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78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2B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1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BF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46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36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807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67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C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E6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ABA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4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D1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6FE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8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D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825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3D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64F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C18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2F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BC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3BF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5D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FE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7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8B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1E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CCC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7A9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AE9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C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70B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BD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FE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3A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56A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97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19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AAB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5A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C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6F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7F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B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0D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AA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D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B7F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2A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6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48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89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6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92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C0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3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E4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2C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7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8D1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13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5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79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58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1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061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6D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6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3A5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00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3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94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BA8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5A7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D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B0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07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62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38C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401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C8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A2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1E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D0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B0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73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67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67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BA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3B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7C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B7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84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1CF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BBC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76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06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2E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BE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A5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20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93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3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81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890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8AD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489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60B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8C0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56A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CC7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089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0F4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7EB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63A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7A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E5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762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F5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D7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82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992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D94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BD94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650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C6C697">
    <w:pPr>
      <w:pStyle w:val="6"/>
      <w:jc w:val="both"/>
    </w:pPr>
  </w:p>
  <w:p w14:paraId="15C7D5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52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719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907624"/>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7219</Words>
  <Characters>10469</Characters>
  <Lines>251</Lines>
  <Paragraphs>70</Paragraphs>
  <TotalTime>2</TotalTime>
  <ScaleCrop>false</ScaleCrop>
  <LinksUpToDate>false</LinksUpToDate>
  <CharactersWithSpaces>10971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