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60C2C1">
      <w:pPr>
        <w:pStyle w:val="2"/>
        <w:bidi w:val="0"/>
        <w:jc w:val="center"/>
        <w:rPr>
          <w:rFonts w:hint="default" w:ascii="Times New Roman" w:hAnsi="Times New Roman" w:cs="Times New Roman"/>
          <w:b/>
          <w:bCs w:val="0"/>
          <w:sz w:val="36"/>
          <w:szCs w:val="36"/>
        </w:rPr>
      </w:pPr>
      <w:r>
        <w:rPr>
          <w:rFonts w:hint="eastAsia"/>
          <w:b/>
          <w:bCs/>
          <w:sz w:val="36"/>
          <w:szCs w:val="36"/>
        </w:rPr>
        <w:t>Mouse sTNF RII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2299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4ADB32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0BF2847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41FF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85C9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813DD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3C9B0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AD664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86069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C96A9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C915D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B6BA7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0FAB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6D8C0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4EDB30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257660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56FDB4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7885E0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6C74F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5CDE11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671E32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0F094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085A7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EC39F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9F063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38EC4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811E5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824FF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可溶性肿瘤坏死因子受体II (sTNF RII)，也称为TNFRSF1B、p75/p80和CD120b，是膜相关TNF-α和淋巴毒素-α的广泛表达受体。它的激活通过NFkB依赖的信号通路启动促炎和促存活反应，尽管它也可能诱导凋亡。TNF RII胞外域可被蛋白水解切割以产生可溶性TNF RII。</w:t>
      </w:r>
    </w:p>
    <w:p w14:paraId="56B780EA">
      <w:pPr>
        <w:ind w:firstLine="441" w:firstLineChars="0"/>
        <w:rPr>
          <w:rFonts w:hint="default" w:ascii="Times New Roman" w:hAnsi="Times New Roman" w:cs="Times New Roman"/>
        </w:rPr>
      </w:pPr>
    </w:p>
    <w:p w14:paraId="58BE11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BFCD1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7E4C1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F2F71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E256F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440B8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6190B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7431AA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DE70CF9">
      <w:pPr>
        <w:rPr>
          <w:rFonts w:hint="default" w:ascii="Times New Roman" w:hAnsi="Times New Roman" w:cs="Times New Roman"/>
        </w:rPr>
      </w:pPr>
      <w:r>
        <w:rPr>
          <w:rFonts w:hint="default" w:ascii="Times New Roman" w:hAnsi="Times New Roman" w:cs="Times New Roman"/>
        </w:rPr>
        <w:br w:type="page"/>
      </w:r>
    </w:p>
    <w:p w14:paraId="1D586F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643D2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83518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EC82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AFE0A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DF402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7EB5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1E6DE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E4BD1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630DD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9BF36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60D9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4B2E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D4CCB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F9436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9362D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1F30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DBB4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62E84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338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821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A867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5D29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37C82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168F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B13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189B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E35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6A82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0AE4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F195F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BF51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524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D66E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48892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D30C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060B1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943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EE81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6E24E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6CA59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6DD4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AFDF1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D99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0B28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E752B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B43F3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A464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D0F3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357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00F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606C3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45C23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7678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A1B4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DAA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CEF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DE1E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5E97F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8B6A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CB91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F99D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F7A29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40C1C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2DB7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36A6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7570EB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854D6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478BA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536F8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968FDD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D7E42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11758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2F2964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B7ED8A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0FCD5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BE3F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863D3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F634AD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9F61F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C445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34ED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D7977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D659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B7924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9359EC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589BDE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BAC910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769E4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0E817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94111B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876E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EC9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BE22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AB2D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23E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0F1A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C125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6347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18BC47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6DD4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6066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B6F9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B9C0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D624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DEA5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4F2A43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2CDDE3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6924A3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E002A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A640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2710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AF7D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0B27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9B54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BD41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9AC1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F643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C4AB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6B0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920E8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C33019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B2864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1E1AB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CFAC5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DCEDB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4A7AA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B0F37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658DEC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088C6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89962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C009A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9CE1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23FB1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DCBCD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A0502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6953C0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81CCC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42FAE2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53C6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EE2DD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459BE7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432E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6FB9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97E6A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5E93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3D89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21CF1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7C9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FD66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87096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23AE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2DE44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68AB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C2340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CV9%。</w:t>
      </w:r>
    </w:p>
    <w:p w14:paraId="4D7DF5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CV10%。</w:t>
      </w:r>
    </w:p>
    <w:p w14:paraId="0AFBAB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CD5C0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AF98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041D8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FBC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A94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A81F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98A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C71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5388B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D3B4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B1F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874B7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2211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799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B86A8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74C6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E3B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1DCF1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7A9B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6B3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33768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8E51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9C3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9D554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321E8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79A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6DD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86E0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0A3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C33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9FD02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0FD7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AA0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5EDE2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FC66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35F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9C135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8E3D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1F2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820A0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E1B5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0D4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A77C3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5793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558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BAD31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B9FB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B53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576F8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92B9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0CD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BFF07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0FDF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95F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713C7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B89A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8B4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DC677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FFA3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83C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A5FFC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6B5AA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022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EB5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59E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7C3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9B1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5C63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6CBB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D3E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53FD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BD7D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0D8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6216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A58F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299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C06B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D02C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028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B49A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B314A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0E7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B4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A95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837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75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D278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DEF6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84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E356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5286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76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F539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E880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8E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95DD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FD5E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85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C797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2F19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04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3CEB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9E9C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02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E483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0011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7C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2424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C7E3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70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D967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0379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85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6993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E27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F1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0E31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3F36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19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97DC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BAF7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27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C3C2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87BFC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DB133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FA4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C1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F64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6E1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CE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DFB3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C726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41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E5D1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F150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37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CAE0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1B17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2F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6030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39EA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45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EF08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E169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A9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7C60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EFF4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FA87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7E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5EC5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09A4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1F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C01B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C45A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7A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2317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7BA6E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FB2F8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DD5BA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7E755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2F0B6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7175F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B699A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22393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92E60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0BACF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B0583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38224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1C301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1E147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10993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8F9B1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E49DB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49E95F4">
      <w:pPr>
        <w:rPr>
          <w:rFonts w:hint="default" w:ascii="Times New Roman" w:hAnsi="Times New Roman" w:cs="Times New Roman"/>
          <w:sz w:val="22"/>
          <w:szCs w:val="22"/>
        </w:rPr>
      </w:pPr>
    </w:p>
    <w:p w14:paraId="329FCDB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2A1836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sTNF RII Elisa Kit</w:t>
      </w:r>
    </w:p>
    <w:p w14:paraId="19AF16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306E13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745E76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6B0F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F218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51E3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CF4A3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3D16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E371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E0E0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16C8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1F99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00F3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36A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49918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1A9E3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4CAF0B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6CB177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00D9C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4CE34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174449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9937A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B2FB6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1B19C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D7E79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1C77D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9%, inter-board coefficient of variation 10%.</w:t>
      </w:r>
    </w:p>
    <w:p w14:paraId="0E59D7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6E71E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Soluble Tumor Necrosis Factor Receptor II (sTNF RII), also known as TNFRSF1B, p75/p80, and CD120b, is a widely expressed receptor for membrane-associated TNF-alpha and Lymphotoxin-alpha. Its activation initiates pro-inflammatory and pro-survival responses via NFkB-dependent signaling pathways, although it may also induce apoptosis. The TNF RII extracellular domain can be proteolytically cleaved to make soluble TNF RII.</w:t>
      </w:r>
    </w:p>
    <w:p w14:paraId="52F0744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C10299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16254C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9EB7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1E08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7B5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8D0E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3906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1709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5B2FFED">
      <w:pPr>
        <w:rPr>
          <w:rFonts w:hint="default" w:ascii="Times New Roman" w:hAnsi="Times New Roman" w:cs="Times New Roman"/>
          <w:b/>
          <w:bCs/>
          <w:sz w:val="28"/>
          <w:szCs w:val="28"/>
        </w:rPr>
      </w:pPr>
    </w:p>
    <w:p w14:paraId="3247572E">
      <w:pPr>
        <w:rPr>
          <w:rFonts w:hint="default" w:ascii="Times New Roman" w:hAnsi="Times New Roman" w:cs="Times New Roman"/>
          <w:b/>
          <w:bCs/>
          <w:sz w:val="28"/>
          <w:szCs w:val="28"/>
        </w:rPr>
      </w:pPr>
    </w:p>
    <w:p w14:paraId="177E67EF">
      <w:pPr>
        <w:rPr>
          <w:rFonts w:hint="default" w:ascii="Times New Roman" w:hAnsi="Times New Roman" w:cs="Times New Roman"/>
          <w:b/>
          <w:bCs/>
          <w:sz w:val="28"/>
          <w:szCs w:val="28"/>
        </w:rPr>
      </w:pPr>
    </w:p>
    <w:p w14:paraId="765B4EB8">
      <w:pPr>
        <w:rPr>
          <w:rFonts w:hint="default" w:ascii="Times New Roman" w:hAnsi="Times New Roman" w:cs="Times New Roman"/>
          <w:b/>
          <w:bCs/>
          <w:sz w:val="28"/>
          <w:szCs w:val="28"/>
        </w:rPr>
      </w:pPr>
    </w:p>
    <w:p w14:paraId="100B071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CF24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AF2DB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7383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059F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F9AD7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FFCEB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C8A9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B8C4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988C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07ED5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730A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6E31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AB4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A19C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F012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10334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441F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3D80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3DB4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2F70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91E0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6B9D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A174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A239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09A0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257C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F7B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2CB5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98E89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D2BD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8A621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D9D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E4C7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36FD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25A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C1E7F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0C2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2D31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D5AE4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C5854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489D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C713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3D98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BBEE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823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5B5B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9D36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81C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9DD7A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C6B8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91FF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A1D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284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DA5E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823C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7301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2A32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F00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842FB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CA0C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10D95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4EFD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A81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0066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597E7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B09C5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3B13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A679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3A85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6DC22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83904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4BE95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CF9A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5170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9B67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7697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67879B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B509B5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B415B8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F1CD9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1CD0B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F94EE1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BF26CE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A940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4AE78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A50D8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38473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0862D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22D3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64D1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8203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BD29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B99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887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57F5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1FDE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6BC43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EE00B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92BB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DB1A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655D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ADCD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E79E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34FF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DCAA0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D08D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573B4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0B4E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65492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894DB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EAE26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B5AD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8476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E101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18F0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C73D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5170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AEA3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4F53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5028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E9BA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8C6B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EC1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607E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179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AA78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52F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05AF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C6CF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4C1C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4D51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4C0B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ADA7C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B5535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CCD89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D4219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F4A0D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A68EC9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E4537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DAEC1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2A07C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764D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D8CE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9C9E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EC9C9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A143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9FE7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70721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97B0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0AB0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AEE6C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50F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C03F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87E7F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DE4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A012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E711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D125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B7D8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9178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28289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707B2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542C5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4E873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9B7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BAF8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B875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79C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8BDD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668E0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B50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8248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342F8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4C9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E270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C6DBE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B1A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9FF2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FE08C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65D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3892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73D32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A4D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6330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29717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708F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28E3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E4C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2228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DF3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87C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D35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8CF7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19A1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28D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5A13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A2E0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B31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D08C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DD03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7A2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A39E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1983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71A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E58A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280C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8CB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A3A1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FC0D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223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FBE6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037B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EEB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A92B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4E69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C13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53A1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6DDB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7AA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E684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D448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7C8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A68E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FE7E9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3BC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662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C41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BB8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189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68C7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CAED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9A255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41B2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56B5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954E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A21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CE80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CA19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847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1FAC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08ED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63F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6FCC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66622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6CB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831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CED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EDF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DD9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566F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6C47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6D4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F875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DE63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2A7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48B1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A124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778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334B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F245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D89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27D4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1B48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E43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2A59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D56F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614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A1D5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AD3A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EC6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AF85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C9F6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284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68E1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6FE2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B7C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D991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511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3F6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9EC3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257D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523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73B8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0A11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64E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FE02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63D98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25373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B7B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A1F1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CAE4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FF8F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8CA59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C675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93B4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A0D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39D1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FDAC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8D0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002A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F76B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4CB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7972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8690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13D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4A50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B96B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E4F59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9E06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A9EE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2F0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86D7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8E92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58B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C8D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B996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419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1BD3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CA603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1536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198E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8057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B1AC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F5C5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BB66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7F01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2AE8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3053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9AAC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3CD4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910A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nconsistencies between the experimental results and the factory results or the increase in the difference between batches of kits.</w:t>
      </w:r>
    </w:p>
    <w:p w14:paraId="1F7E1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C813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9A2E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E255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E377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C5F86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EC5F86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9AD1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BC9AB36">
    <w:pPr>
      <w:pStyle w:val="6"/>
      <w:jc w:val="both"/>
    </w:pPr>
  </w:p>
  <w:p w14:paraId="4DE745C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988B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D5D8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0F75F7E"/>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8716</Words>
  <Characters>18446</Characters>
  <Lines>251</Lines>
  <Paragraphs>70</Paragraphs>
  <TotalTime>0</TotalTime>
  <ScaleCrop>false</ScaleCrop>
  <LinksUpToDate>false</LinksUpToDate>
  <CharactersWithSpaces>20498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2026-05-27T05:47:43Z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