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D0895">
      <w:pPr>
        <w:pStyle w:val="2"/>
        <w:bidi w:val="0"/>
        <w:jc w:val="center"/>
        <w:rPr>
          <w:rFonts w:hint="default" w:ascii="Times New Roman" w:hAnsi="Times New Roman" w:cs="Times New Roman"/>
          <w:b/>
          <w:bCs w:val="0"/>
          <w:sz w:val="36"/>
          <w:szCs w:val="36"/>
        </w:rPr>
      </w:pPr>
      <w:r>
        <w:rPr>
          <w:rFonts w:hint="eastAsia"/>
          <w:b/>
          <w:bCs/>
          <w:sz w:val="36"/>
          <w:szCs w:val="36"/>
        </w:rPr>
        <w:t>Mouse Thrombin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DFE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CB983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610B26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08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6AC3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A23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62EF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F677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9AA1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0034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A6BF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9323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9D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9A3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714A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0AF97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13792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62B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C5FFD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9C003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48C1B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A20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DC91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5D6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E448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97FB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2D7B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F41F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凝血酶直接作用于血液凝固过程的最后一步，促使血浆中的可溶性纤维蛋白原转变成不溶的纤维蛋白，从而达到速效止血的目的。</w:t>
      </w:r>
    </w:p>
    <w:p w14:paraId="46030EB2">
      <w:pPr>
        <w:ind w:firstLine="441" w:firstLineChars="0"/>
        <w:rPr>
          <w:rFonts w:hint="default" w:ascii="Times New Roman" w:hAnsi="Times New Roman" w:cs="Times New Roman"/>
        </w:rPr>
      </w:pPr>
    </w:p>
    <w:p w14:paraId="50CD8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887F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570B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4F04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44D8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BF46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11CC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E2E0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9870AB">
      <w:pPr>
        <w:rPr>
          <w:rFonts w:hint="default" w:ascii="Times New Roman" w:hAnsi="Times New Roman" w:cs="Times New Roman"/>
        </w:rPr>
      </w:pPr>
      <w:r>
        <w:rPr>
          <w:rFonts w:hint="default" w:ascii="Times New Roman" w:hAnsi="Times New Roman" w:cs="Times New Roman"/>
        </w:rPr>
        <w:br w:type="page"/>
      </w:r>
    </w:p>
    <w:p w14:paraId="6B6F1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D98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431A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8"/>
        <w:gridCol w:w="1593"/>
        <w:gridCol w:w="1593"/>
        <w:gridCol w:w="1595"/>
      </w:tblGrid>
      <w:tr w14:paraId="6D02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3718" w:type="dxa"/>
            <w:vMerge w:val="restart"/>
            <w:vAlign w:val="center"/>
          </w:tcPr>
          <w:p w14:paraId="169D2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bookmarkStart w:id="0" w:name="_GoBack"/>
            <w:r>
              <w:rPr>
                <w:rFonts w:hint="default" w:ascii="Times New Roman" w:hAnsi="Times New Roman" w:cs="Times New Roman"/>
                <w:b/>
                <w:bCs/>
                <w:sz w:val="24"/>
                <w:szCs w:val="24"/>
                <w:lang w:val="en-US" w:eastAsia="zh-CN"/>
              </w:rPr>
              <w:t>组 分</w:t>
            </w:r>
          </w:p>
        </w:tc>
        <w:tc>
          <w:tcPr>
            <w:tcW w:w="4781" w:type="dxa"/>
            <w:gridSpan w:val="3"/>
            <w:vAlign w:val="center"/>
          </w:tcPr>
          <w:p w14:paraId="5AC3A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01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3718" w:type="dxa"/>
            <w:vMerge w:val="continue"/>
            <w:vAlign w:val="center"/>
          </w:tcPr>
          <w:p w14:paraId="19BF6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593" w:type="dxa"/>
            <w:vAlign w:val="center"/>
          </w:tcPr>
          <w:p w14:paraId="606AF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593" w:type="dxa"/>
            <w:vAlign w:val="center"/>
          </w:tcPr>
          <w:p w14:paraId="6ABD0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595" w:type="dxa"/>
            <w:vAlign w:val="center"/>
          </w:tcPr>
          <w:p w14:paraId="0BDE8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4A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718" w:type="dxa"/>
            <w:vAlign w:val="center"/>
          </w:tcPr>
          <w:p w14:paraId="7627D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593" w:type="dxa"/>
            <w:vAlign w:val="center"/>
          </w:tcPr>
          <w:p w14:paraId="3424F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593" w:type="dxa"/>
            <w:vAlign w:val="center"/>
          </w:tcPr>
          <w:p w14:paraId="6ED42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595" w:type="dxa"/>
            <w:vAlign w:val="center"/>
          </w:tcPr>
          <w:p w14:paraId="123A8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82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718" w:type="dxa"/>
            <w:vAlign w:val="center"/>
          </w:tcPr>
          <w:p w14:paraId="173A8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593" w:type="dxa"/>
            <w:vAlign w:val="center"/>
          </w:tcPr>
          <w:p w14:paraId="4740D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593" w:type="dxa"/>
            <w:vAlign w:val="center"/>
          </w:tcPr>
          <w:p w14:paraId="67C30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595" w:type="dxa"/>
            <w:vAlign w:val="center"/>
          </w:tcPr>
          <w:p w14:paraId="7C67B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87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718" w:type="dxa"/>
            <w:vAlign w:val="center"/>
          </w:tcPr>
          <w:p w14:paraId="1591A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6DB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593" w:type="dxa"/>
            <w:vAlign w:val="center"/>
          </w:tcPr>
          <w:p w14:paraId="6052E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593" w:type="dxa"/>
            <w:vAlign w:val="center"/>
          </w:tcPr>
          <w:p w14:paraId="61E32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595" w:type="dxa"/>
            <w:vAlign w:val="center"/>
          </w:tcPr>
          <w:p w14:paraId="7E52E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FD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718" w:type="dxa"/>
            <w:vAlign w:val="center"/>
          </w:tcPr>
          <w:p w14:paraId="4FFF24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593" w:type="dxa"/>
            <w:vAlign w:val="center"/>
          </w:tcPr>
          <w:p w14:paraId="279CD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593" w:type="dxa"/>
            <w:vAlign w:val="center"/>
          </w:tcPr>
          <w:p w14:paraId="12691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595" w:type="dxa"/>
            <w:vAlign w:val="center"/>
          </w:tcPr>
          <w:p w14:paraId="39731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10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718" w:type="dxa"/>
            <w:vAlign w:val="center"/>
          </w:tcPr>
          <w:p w14:paraId="31C06E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593" w:type="dxa"/>
            <w:shd w:val="clear" w:color="auto" w:fill="auto"/>
            <w:vAlign w:val="center"/>
          </w:tcPr>
          <w:p w14:paraId="63884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593" w:type="dxa"/>
            <w:shd w:val="clear" w:color="auto" w:fill="auto"/>
            <w:vAlign w:val="center"/>
          </w:tcPr>
          <w:p w14:paraId="04947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595" w:type="dxa"/>
            <w:shd w:val="clear" w:color="auto" w:fill="auto"/>
            <w:vAlign w:val="center"/>
          </w:tcPr>
          <w:p w14:paraId="625E6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54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718" w:type="dxa"/>
            <w:vAlign w:val="center"/>
          </w:tcPr>
          <w:p w14:paraId="6F6A3C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BB2B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593" w:type="dxa"/>
            <w:shd w:val="clear" w:color="auto" w:fill="auto"/>
            <w:vAlign w:val="center"/>
          </w:tcPr>
          <w:p w14:paraId="5A690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593" w:type="dxa"/>
            <w:shd w:val="clear" w:color="auto" w:fill="auto"/>
            <w:vAlign w:val="center"/>
          </w:tcPr>
          <w:p w14:paraId="5F476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595" w:type="dxa"/>
            <w:shd w:val="clear" w:color="auto" w:fill="auto"/>
            <w:vAlign w:val="center"/>
          </w:tcPr>
          <w:p w14:paraId="28422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24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718" w:type="dxa"/>
            <w:vAlign w:val="center"/>
          </w:tcPr>
          <w:p w14:paraId="57E3BE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6274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593" w:type="dxa"/>
            <w:shd w:val="clear" w:color="auto" w:fill="auto"/>
            <w:vAlign w:val="center"/>
          </w:tcPr>
          <w:p w14:paraId="20BC4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593" w:type="dxa"/>
            <w:shd w:val="clear" w:color="auto" w:fill="auto"/>
            <w:vAlign w:val="center"/>
          </w:tcPr>
          <w:p w14:paraId="27034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595" w:type="dxa"/>
            <w:shd w:val="clear" w:color="auto" w:fill="auto"/>
            <w:vAlign w:val="center"/>
          </w:tcPr>
          <w:p w14:paraId="09663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C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3718" w:type="dxa"/>
            <w:vAlign w:val="center"/>
          </w:tcPr>
          <w:p w14:paraId="313BE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60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593" w:type="dxa"/>
            <w:vAlign w:val="center"/>
          </w:tcPr>
          <w:p w14:paraId="33236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593" w:type="dxa"/>
            <w:vAlign w:val="center"/>
          </w:tcPr>
          <w:p w14:paraId="3A377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595" w:type="dxa"/>
            <w:vAlign w:val="center"/>
          </w:tcPr>
          <w:p w14:paraId="6402C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E7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718" w:type="dxa"/>
            <w:vAlign w:val="center"/>
          </w:tcPr>
          <w:p w14:paraId="20814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593" w:type="dxa"/>
            <w:vAlign w:val="center"/>
          </w:tcPr>
          <w:p w14:paraId="7512B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593" w:type="dxa"/>
            <w:vAlign w:val="center"/>
          </w:tcPr>
          <w:p w14:paraId="271A8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595" w:type="dxa"/>
            <w:vAlign w:val="center"/>
          </w:tcPr>
          <w:p w14:paraId="4603D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3E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718" w:type="dxa"/>
            <w:vAlign w:val="center"/>
          </w:tcPr>
          <w:p w14:paraId="3B41C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593" w:type="dxa"/>
            <w:vAlign w:val="center"/>
          </w:tcPr>
          <w:p w14:paraId="3A261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593" w:type="dxa"/>
            <w:vAlign w:val="center"/>
          </w:tcPr>
          <w:p w14:paraId="0DF7B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595" w:type="dxa"/>
            <w:vAlign w:val="center"/>
          </w:tcPr>
          <w:p w14:paraId="29F2B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0A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718" w:type="dxa"/>
            <w:shd w:val="clear" w:color="auto" w:fill="auto"/>
            <w:vAlign w:val="center"/>
          </w:tcPr>
          <w:p w14:paraId="0CBFD4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593" w:type="dxa"/>
            <w:shd w:val="clear" w:color="auto" w:fill="auto"/>
            <w:vAlign w:val="center"/>
          </w:tcPr>
          <w:p w14:paraId="2DEDC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593" w:type="dxa"/>
            <w:shd w:val="clear" w:color="auto" w:fill="auto"/>
            <w:vAlign w:val="center"/>
          </w:tcPr>
          <w:p w14:paraId="5B976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595" w:type="dxa"/>
            <w:shd w:val="clear" w:color="auto" w:fill="auto"/>
            <w:vAlign w:val="center"/>
          </w:tcPr>
          <w:p w14:paraId="63006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bookmarkEnd w:id="0"/>
    </w:tbl>
    <w:p w14:paraId="61F022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D9B7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E897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D6C4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7535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D51C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7FD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B09E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9C84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3CA5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D9E9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D33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EE59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E6C2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105F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F5DC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6869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AD83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128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1B0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F1D82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FA4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6EC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FF0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1D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3C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708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859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35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D18C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8CF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FC2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5B3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B94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A52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EBE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BAB5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FBD1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D7EE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357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AC3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0EE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71D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9FD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74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E4C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1B8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91F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458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912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AEA5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A807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E8F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D6E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0401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3DA5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C4AC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AFB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E59C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483F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5012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1F73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FACE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E05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BDD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588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FF61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AC69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EE85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8B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4ED4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B74D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94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895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002E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9F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A69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5DC5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83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614B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B2E4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78F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D18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D61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9A1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4C5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D54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F36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337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016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6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B0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D10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66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A8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43F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36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B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5DC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E5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64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149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31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75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B54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B0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AE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A76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C8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24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EA5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42FB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1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87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C8F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E1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8A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65A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31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AD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31A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A5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6D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04D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8F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1A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D48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4C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B2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4B4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6D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90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844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29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DF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ABC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7F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27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D47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BE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74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C3C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8A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C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FA7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FF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9E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C05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9972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A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138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91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8A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3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93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63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0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5A6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76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0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B9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BD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32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925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BB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1F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06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9581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B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86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97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C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6E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60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22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3E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52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A9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5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D3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44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A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532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BE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B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DE3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C3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7E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7B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A8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A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4E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B3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0A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B14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B2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2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01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D4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5F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15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B7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9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10D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54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95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D06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D6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9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CF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48D0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D12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B3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0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FF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11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B6A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33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99F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77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EC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D0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14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7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ADA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80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77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1E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52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A7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51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5B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33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7C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8E4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A2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1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D03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13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1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79F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F791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FBA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AF5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D1B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BED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B34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B8A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4300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AB97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761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401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F51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6AD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32C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337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550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D65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CC0A6A">
      <w:pPr>
        <w:rPr>
          <w:rFonts w:hint="default" w:ascii="Times New Roman" w:hAnsi="Times New Roman" w:cs="Times New Roman"/>
          <w:sz w:val="22"/>
          <w:szCs w:val="22"/>
        </w:rPr>
      </w:pPr>
    </w:p>
    <w:p w14:paraId="0E0A6E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1C25D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Thrombin Elisa Kit</w:t>
      </w:r>
    </w:p>
    <w:p w14:paraId="5E98F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CAF7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6D1A8F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71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A79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A1C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3B8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709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8C2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B28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EB3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986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5B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D1E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B8D7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0010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3CE7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14F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C283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9060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D7FA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6AA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B54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8A1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BA0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1A02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F3C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7EFC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Thrombin directly acts on the last step of blood coagulation process to promote the transformation of soluble fibrinogen in plasma into insoluble fibrin, so as to achieve the purpose of quick hemostasis.</w:t>
      </w:r>
    </w:p>
    <w:p w14:paraId="35D897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EA4F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5E9B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1DA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ED9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B9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129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EDE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4F8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A533DB">
      <w:pPr>
        <w:rPr>
          <w:rFonts w:hint="default" w:ascii="Times New Roman" w:hAnsi="Times New Roman" w:cs="Times New Roman"/>
          <w:b/>
          <w:bCs/>
          <w:sz w:val="28"/>
          <w:szCs w:val="28"/>
        </w:rPr>
      </w:pPr>
    </w:p>
    <w:p w14:paraId="27193644">
      <w:pPr>
        <w:rPr>
          <w:rFonts w:hint="default" w:ascii="Times New Roman" w:hAnsi="Times New Roman" w:cs="Times New Roman"/>
          <w:b/>
          <w:bCs/>
          <w:sz w:val="28"/>
          <w:szCs w:val="28"/>
        </w:rPr>
      </w:pPr>
    </w:p>
    <w:p w14:paraId="365A9350">
      <w:pPr>
        <w:rPr>
          <w:rFonts w:hint="default" w:ascii="Times New Roman" w:hAnsi="Times New Roman" w:cs="Times New Roman"/>
          <w:b/>
          <w:bCs/>
          <w:sz w:val="28"/>
          <w:szCs w:val="28"/>
        </w:rPr>
      </w:pPr>
    </w:p>
    <w:p w14:paraId="4EC7DDAD">
      <w:pPr>
        <w:rPr>
          <w:rFonts w:hint="default" w:ascii="Times New Roman" w:hAnsi="Times New Roman" w:cs="Times New Roman"/>
          <w:b/>
          <w:bCs/>
          <w:sz w:val="28"/>
          <w:szCs w:val="28"/>
        </w:rPr>
      </w:pPr>
    </w:p>
    <w:p w14:paraId="71D18A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BD2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1939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8E2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7B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6E28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814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D7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A215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84D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978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736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EE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B2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58F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6C4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A36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28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94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10F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3BC8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806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34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44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15B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E5F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D48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68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B9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34D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4AB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7F1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67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5A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578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1F6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E3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32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C4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8B77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335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5D4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5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093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6D0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694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79A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E3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11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D12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EC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95C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5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13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624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649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36A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C1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2B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598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747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4C8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4D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D6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D22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D65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774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10F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EDD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7A3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007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4EE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F32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F87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6E2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35A2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5A51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C048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4D47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F8D7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0C4F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521D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B845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CD44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E1B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5E6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6BFD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060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321E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2B4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584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AFC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D98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953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7AB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99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B5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0AB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C7A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7B5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444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012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0A9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143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F5E9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5D7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0B7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A495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013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AF7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631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E60E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38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95F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C4E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4D9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B74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8B7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8D6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ED6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0B94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3ADB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0B7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554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CAD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54F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B0F1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F99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2D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9F4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50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38B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62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344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D56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14E9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1534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5779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1DB3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DCF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F38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66D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7E5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21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A94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11E4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3A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699A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0806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58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CE1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FE0A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9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9BC7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514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ACD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6E3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A62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F37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98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B5F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D78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F9C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C1C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586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2C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17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EE6F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5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01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937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F6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6C6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F980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38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31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8357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29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F02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E0DF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63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4A5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3484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7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EAB5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173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2E5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5E6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0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8C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C0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AD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9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CA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33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4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91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DD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E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B62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18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6A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E7D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F8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D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323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42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5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36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5F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D13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1CE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9B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E21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559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0F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BF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4C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B2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65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63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63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F0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91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7B8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5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D1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7AA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88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CA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87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330E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462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B6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2B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554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93B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32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F3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DE3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B0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3CD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88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309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4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9E4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05B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61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58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3C3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08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FF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647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CC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B4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E03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C1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15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A26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89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6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D7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ED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3D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B3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69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2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18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06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4A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5C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7B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3A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836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7E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1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44B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2A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59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30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23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B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E48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32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AB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21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BFD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AFA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5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E6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E56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95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D9B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51A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A7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C8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1B0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81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EE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AD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13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51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FB4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CE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7A7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82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42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457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05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ED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304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326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77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90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2D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BE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4C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58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C82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4EF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A9A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D31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678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D57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1BE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26E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8EE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51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626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83B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F70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5F2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w:t>
      </w:r>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ts or products with different methods to detect the same protein of interest, so inconsistencies in the test results are not excluded. </w:t>
      </w:r>
    </w:p>
    <w:p w14:paraId="43561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234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0F6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428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C2E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CC2E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739A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0A9C37">
    <w:pPr>
      <w:pStyle w:val="6"/>
      <w:jc w:val="both"/>
    </w:pPr>
  </w:p>
  <w:p w14:paraId="761608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E07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D3E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B60969"/>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C14881"/>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7143</Words>
  <Characters>10596</Characters>
  <Lines>251</Lines>
  <Paragraphs>70</Paragraphs>
  <TotalTime>1</TotalTime>
  <ScaleCrop>false</ScaleCrop>
  <LinksUpToDate>false</LinksUpToDate>
  <CharactersWithSpaces>11152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2026-05-28T05:12:25Z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