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B0E06E">
      <w:pPr>
        <w:pStyle w:val="2"/>
        <w:bidi w:val="0"/>
        <w:jc w:val="center"/>
        <w:rPr>
          <w:rFonts w:hint="default" w:ascii="Times New Roman" w:hAnsi="Times New Roman" w:cs="Times New Roman"/>
          <w:b/>
          <w:bCs w:val="0"/>
          <w:sz w:val="36"/>
          <w:szCs w:val="36"/>
        </w:rPr>
      </w:pPr>
      <w:r>
        <w:rPr>
          <w:rFonts w:hint="eastAsia"/>
          <w:b/>
          <w:bCs/>
          <w:sz w:val="36"/>
          <w:szCs w:val="36"/>
        </w:rPr>
        <w:t>Rat IFN-α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CC227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11–700pg/ml</w:t>
      </w:r>
    </w:p>
    <w:p w14:paraId="1DE15B8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2.2pg/ml</w:t>
      </w:r>
    </w:p>
    <w:p w14:paraId="644D13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B8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F27F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B1BF7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2F85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D98A9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F443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52DB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F45E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B8A0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AF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05C3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700.0</w:t>
            </w:r>
          </w:p>
        </w:tc>
        <w:tc>
          <w:tcPr>
            <w:tcW w:w="1134" w:type="dxa"/>
            <w:vAlign w:val="center"/>
          </w:tcPr>
          <w:p w14:paraId="04B446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350.0</w:t>
            </w:r>
          </w:p>
        </w:tc>
        <w:tc>
          <w:tcPr>
            <w:tcW w:w="1134" w:type="dxa"/>
            <w:vAlign w:val="center"/>
          </w:tcPr>
          <w:p w14:paraId="64F72C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175.0</w:t>
            </w:r>
          </w:p>
        </w:tc>
        <w:tc>
          <w:tcPr>
            <w:tcW w:w="1134" w:type="dxa"/>
            <w:vAlign w:val="center"/>
          </w:tcPr>
          <w:p w14:paraId="2423A2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87.5</w:t>
            </w:r>
          </w:p>
        </w:tc>
        <w:tc>
          <w:tcPr>
            <w:tcW w:w="1134" w:type="dxa"/>
            <w:vAlign w:val="center"/>
          </w:tcPr>
          <w:p w14:paraId="0DB47B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43.75</w:t>
            </w:r>
          </w:p>
        </w:tc>
        <w:tc>
          <w:tcPr>
            <w:tcW w:w="1134" w:type="dxa"/>
            <w:vAlign w:val="center"/>
          </w:tcPr>
          <w:p w14:paraId="6F65D6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21.88</w:t>
            </w:r>
          </w:p>
        </w:tc>
        <w:tc>
          <w:tcPr>
            <w:tcW w:w="1134" w:type="dxa"/>
            <w:vAlign w:val="center"/>
          </w:tcPr>
          <w:p w14:paraId="2F0E07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11.0</w:t>
            </w:r>
          </w:p>
        </w:tc>
        <w:tc>
          <w:tcPr>
            <w:tcW w:w="1134" w:type="dxa"/>
            <w:vAlign w:val="center"/>
          </w:tcPr>
          <w:p w14:paraId="156DC0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739C1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1251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3F641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A02C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AD4BA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5FEC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CD5C4E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扰素-γ（IFN-γ）是一种炎症细胞因子，与炎症组织纤维化的发生有关。IFN-γ的产生受基因控制，可影响同种异体肺移植中纤维化的发展。IFN-γ也由自然杀伤（NK）细胞产生，最主要的是由CD8细胞毒性T细胞产生，对控制微生物病原体至关重要。干扰素γ被认为是宿主防御许多感染的关键。基因决定的IFN-γ和表达的变异性可能对结核病的发展很重要。干扰素γ激活人巨噬细胞氧化代谢和抗菌活性。IFN-γ除了具有抗病毒活性外，还具有重要的免疫调节功能。IFN-γ在控制新生内膜增殖中起重要作用。</w:t>
      </w:r>
    </w:p>
    <w:p w14:paraId="4FF72528">
      <w:pPr>
        <w:ind w:firstLine="441" w:firstLineChars="0"/>
        <w:rPr>
          <w:rFonts w:hint="default" w:ascii="Times New Roman" w:hAnsi="Times New Roman" w:cs="Times New Roman"/>
        </w:rPr>
      </w:pPr>
    </w:p>
    <w:p w14:paraId="7DC326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54EF6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CE0C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444FE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96ABC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8574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D55C07">
      <w:pPr>
        <w:rPr>
          <w:rFonts w:hint="default" w:ascii="Times New Roman" w:hAnsi="Times New Roman" w:cs="Times New Roman"/>
        </w:rPr>
      </w:pPr>
      <w:r>
        <w:rPr>
          <w:rFonts w:hint="default" w:ascii="Times New Roman" w:hAnsi="Times New Roman" w:cs="Times New Roman"/>
        </w:rPr>
        <w:br w:type="page"/>
      </w:r>
    </w:p>
    <w:p w14:paraId="15AE51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49EE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1A9B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02B2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ED65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B26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C10E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BE17D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8F1CD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57A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8773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29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57CB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AD69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295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8C51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3BD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FEA4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9DDB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068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CDEA0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72F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7BE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AF5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D5BE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E8D8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273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779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C1A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64ED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681A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32F0A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EB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1F1E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B69F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2AB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3F7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50C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A853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686E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AE27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53A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3A2B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A42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DE4E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938E6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16C4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4F92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482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62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8D6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7D7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987CA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FE9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3FE45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A7A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FED2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AD6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F68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231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8F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B9B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ED4A3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543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0BA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CC76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A9525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F3AC7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BEDB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B1FB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7E14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B4D5B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A94B7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8B2D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C99C8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CDA9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F27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642A1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4E353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A29CE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3C151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5DDA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69F3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63F2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4E1EF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1B7F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2CDC6D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90E9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A451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A4F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11399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46FA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6B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B15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76FA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B51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395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5C52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8A3E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4964E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AD26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391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B65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D6D4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8FD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D125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F6507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4C10F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86CD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C3D0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304D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3875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5A28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B3DB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418D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064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D55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941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94F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B91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9C19C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8E4CA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84091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58640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D64D8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5769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0679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2D90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30BD0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D0C8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D795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60E36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0DA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DB08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AA84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ECF4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746F0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50BCA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E3258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CD8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A645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64A543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C8C2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BFBD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CDEB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A3E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0822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42F20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69A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81FB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FB3B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A6AE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5EE3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0AEF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724A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D98C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FF9F3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1755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434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EAA3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EF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6B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5BE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E05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D85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8A5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5A12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454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0F8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AF5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D58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D9F7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68F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CCD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1DB5C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D4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B17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8D8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0A7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D13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BEA6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F1E5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E2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49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59ED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D1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0E8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4DD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EE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3D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4BD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C9F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A5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D8FD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A75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57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E7A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00E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27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E41C5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FFF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D5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A846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E88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D7A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2BDAB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772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F6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9C12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564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AF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60C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D8C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9D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0FEC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B88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FC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F8E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2235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B4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54B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CA3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C6C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C1D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73FC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F1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1EF1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C2F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6CB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78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CBEC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8298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FB2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DCF2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41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EB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C95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8131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7A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BC4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7BD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CAE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CC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9CE5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2BD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7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267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AA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EE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297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E15E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38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794A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1AE2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64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7F6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44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03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D8A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5D3B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F4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E735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4E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EC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0D0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A86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CB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7418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338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FD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FC7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B5C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C1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3719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50F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C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9FEAC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1A8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3F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0F41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E988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0F05A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57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6F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772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87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EF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39F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874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8A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1EF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734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8E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5F4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87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13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70D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5D3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E1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B660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08D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2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20D0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CA3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76A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99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B6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DD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70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60CD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8D52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33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906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0B5BA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360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D627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0B342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E4B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56D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C20D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D95E6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3B9A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27C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687AA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DF8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9AFF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094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1A2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298D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2DCA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54FA03">
      <w:pPr>
        <w:rPr>
          <w:rFonts w:hint="default" w:ascii="Times New Roman" w:hAnsi="Times New Roman" w:cs="Times New Roman"/>
          <w:sz w:val="22"/>
          <w:szCs w:val="22"/>
        </w:rPr>
      </w:pPr>
    </w:p>
    <w:p w14:paraId="19A73C2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EEBA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IFN-α Elisa Kit</w:t>
      </w:r>
    </w:p>
    <w:p w14:paraId="6AF9AC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11–700pg/ml</w:t>
      </w:r>
    </w:p>
    <w:p w14:paraId="571037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2.2pg/ml</w:t>
      </w:r>
    </w:p>
    <w:p w14:paraId="29B0D0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332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AC4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A30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B407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8540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90D0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9BD2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953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0831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F4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9C3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700.0</w:t>
            </w:r>
          </w:p>
        </w:tc>
        <w:tc>
          <w:tcPr>
            <w:tcW w:w="1036" w:type="dxa"/>
            <w:vAlign w:val="center"/>
          </w:tcPr>
          <w:p w14:paraId="1E99A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350.0</w:t>
            </w:r>
          </w:p>
        </w:tc>
        <w:tc>
          <w:tcPr>
            <w:tcW w:w="1036" w:type="dxa"/>
            <w:vAlign w:val="center"/>
          </w:tcPr>
          <w:p w14:paraId="2E09B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175.0</w:t>
            </w:r>
          </w:p>
        </w:tc>
        <w:tc>
          <w:tcPr>
            <w:tcW w:w="1036" w:type="dxa"/>
            <w:vAlign w:val="center"/>
          </w:tcPr>
          <w:p w14:paraId="608AA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87.5</w:t>
            </w:r>
          </w:p>
        </w:tc>
        <w:tc>
          <w:tcPr>
            <w:tcW w:w="1036" w:type="dxa"/>
            <w:vAlign w:val="center"/>
          </w:tcPr>
          <w:p w14:paraId="2F7F6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43.75</w:t>
            </w:r>
          </w:p>
        </w:tc>
        <w:tc>
          <w:tcPr>
            <w:tcW w:w="1036" w:type="dxa"/>
            <w:vAlign w:val="center"/>
          </w:tcPr>
          <w:p w14:paraId="6074F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21.88</w:t>
            </w:r>
          </w:p>
        </w:tc>
        <w:tc>
          <w:tcPr>
            <w:tcW w:w="1037" w:type="dxa"/>
            <w:vAlign w:val="center"/>
          </w:tcPr>
          <w:p w14:paraId="641C72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11.0</w:t>
            </w:r>
          </w:p>
        </w:tc>
        <w:tc>
          <w:tcPr>
            <w:tcW w:w="1037" w:type="dxa"/>
            <w:vAlign w:val="center"/>
          </w:tcPr>
          <w:p w14:paraId="6B396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B41FC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FAE3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F20C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539A9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0A40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874BD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9B30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Interferon-gamma(IFN-gamma) is an inflammatory cytokine that has been implicated in the development of fibrosis in inflamed tissues. The production of IFN-gamma, which is under genetic control, can influence the development of fibrosis in lung allografts. IFN-gamma is also produced by natural killer(NK) cells and most prominently by CD8 cytotoxic T cells, and is vital for the control of microbial pathogens. Interferon gamma is believed to be crucial for host defence against many infections. Genetically determined variability in IFN-gamma and expression might be important for the development of tuberculosis. IFN-gamma activates human macrophage oxidative metabolism and antimicrobial activity. In addition to having antiviral activity, IFN-gamma has important immunoregulatory functions. IFN-gamma plays an important role in the control of neointima proliferation.</w:t>
      </w:r>
    </w:p>
    <w:p w14:paraId="759909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82B089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FF0F3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3BB5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D79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366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F53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E342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EA1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E6F210">
      <w:pPr>
        <w:rPr>
          <w:rFonts w:hint="default" w:ascii="Times New Roman" w:hAnsi="Times New Roman" w:cs="Times New Roman"/>
          <w:b/>
          <w:bCs/>
          <w:sz w:val="28"/>
          <w:szCs w:val="28"/>
        </w:rPr>
      </w:pPr>
    </w:p>
    <w:p w14:paraId="70C12B5E">
      <w:pPr>
        <w:rPr>
          <w:rFonts w:hint="default" w:ascii="Times New Roman" w:hAnsi="Times New Roman" w:cs="Times New Roman"/>
          <w:b/>
          <w:bCs/>
          <w:sz w:val="28"/>
          <w:szCs w:val="28"/>
        </w:rPr>
      </w:pPr>
    </w:p>
    <w:p w14:paraId="303E22A2">
      <w:pPr>
        <w:rPr>
          <w:rFonts w:hint="default" w:ascii="Times New Roman" w:hAnsi="Times New Roman" w:cs="Times New Roman"/>
          <w:b/>
          <w:bCs/>
          <w:sz w:val="28"/>
          <w:szCs w:val="28"/>
        </w:rPr>
      </w:pPr>
    </w:p>
    <w:p w14:paraId="1BA7ECC7">
      <w:pPr>
        <w:rPr>
          <w:rFonts w:hint="default" w:ascii="Times New Roman" w:hAnsi="Times New Roman" w:cs="Times New Roman"/>
          <w:b/>
          <w:bCs/>
          <w:sz w:val="28"/>
          <w:szCs w:val="28"/>
        </w:rPr>
      </w:pPr>
    </w:p>
    <w:p w14:paraId="17BC7E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CB36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F2B9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E33D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35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3CDF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5AEA4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57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1FF0F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0948D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07E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A2D1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3B00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97E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931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FF6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BDB7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478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24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16F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61F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5B1F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7DA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A970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6698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897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CCB3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D2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AFB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F208D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C1C66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DA62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D5DA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722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D17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882B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D06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24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CE20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2991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5B9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2D6F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51B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FED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408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52A3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265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9E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E83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BD39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DA4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401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C84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72F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078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7D6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E410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16C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DB5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94D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4883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870E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11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98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94F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6897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1444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A23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9F70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CD374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0789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4AD6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2977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203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3AF1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7EAD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758D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7B04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E2215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217D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A174F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7CD8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DD35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BA976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E1B6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66CB9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5EB4A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1C55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0127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9B4B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83D5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B3B2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E0D6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11A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E712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9A10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110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5D68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92DF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ED7F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AB68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DB8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949A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404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AB3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32F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43C2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7BA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8542B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A175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49BB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3126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4B3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AB8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21D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874C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E86C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906A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95A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6EC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7D7A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A9C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A06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227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ABCE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47D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3E32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901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FAC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B5B0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83B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80A8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D77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9FBF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101D0A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012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5301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D0E4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DA1C5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07B0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A7F54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A13A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F878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A86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12F5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EDE4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7AE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1945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B154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F5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06F0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532DB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F98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871D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3FA2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AA2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F12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9EBC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4DDB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2FE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7F8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D3A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D007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EA09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EC906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E28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5EC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67B8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03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4F51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B1A65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E1D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C82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60876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52A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493B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4258F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BC7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C12F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3604E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411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33D2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173B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F9A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F46F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5C3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39C07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14C0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1C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16C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C1A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EF2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E52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B2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AB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9A2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BB04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947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43C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525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F05B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501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97A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4F5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10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111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7F9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40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A75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8CB9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967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D4B0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1D0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174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DD3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F873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D54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2053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6D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E25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D8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864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71E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32A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CD3D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2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ABB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762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EBF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38B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7CD7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B46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791B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CE0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8B0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DC74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B6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DBB4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020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77B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3BD9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4012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9E9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88A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170FA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97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075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C13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FC09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00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5D1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5D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1BE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5D5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92C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C5E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AA7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6DD9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2F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355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75BB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87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01DE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EF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48A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07F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64B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A9C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2033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7E2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11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FEE2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C23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B8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CA35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EB8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FCC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61EF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7D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F7A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2D2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960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9F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FFB7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1F8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C09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49B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24BF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ACA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33C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83E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B6C7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0A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15E5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9ABC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0F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404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5F8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A8D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CE0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3DF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13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24F7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7C84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5F6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B01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C8DE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2C3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B79C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11C8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6C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478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87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72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48C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B22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438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EA7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415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D594C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F05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48C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19374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272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66B3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DEB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E94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B88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966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F0D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6428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5E2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EC2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1769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0B8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1DC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BF8DD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0E3F7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0E3F7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6AA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08EF31D">
    <w:pPr>
      <w:pStyle w:val="6"/>
      <w:jc w:val="both"/>
    </w:pPr>
  </w:p>
  <w:p w14:paraId="4E291AE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AF38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C9C5A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CA1E16"/>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7250</Words>
  <Characters>10693</Characters>
  <Lines>251</Lines>
  <Paragraphs>70</Paragraphs>
  <TotalTime>0</TotalTime>
  <ScaleCrop>false</ScaleCrop>
  <LinksUpToDate>false</LinksUpToDate>
  <CharactersWithSpaces>11216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2026-06-22T06:02:14Z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