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E8429">
      <w:pPr>
        <w:pStyle w:val="2"/>
        <w:bidi w:val="0"/>
        <w:jc w:val="center"/>
        <w:rPr>
          <w:rFonts w:hint="default" w:ascii="Times New Roman" w:hAnsi="Times New Roman" w:cs="Times New Roman"/>
          <w:b/>
          <w:bCs w:val="0"/>
          <w:sz w:val="36"/>
          <w:szCs w:val="36"/>
        </w:rPr>
      </w:pPr>
      <w:r>
        <w:rPr>
          <w:rFonts w:hint="eastAsia"/>
          <w:b/>
          <w:bCs/>
          <w:sz w:val="36"/>
          <w:szCs w:val="36"/>
        </w:rPr>
        <w:t>Rat Serum Amyloid P/SAP/PTX2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33CE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3BECA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2EDD0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77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B11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021D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84CE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D95D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40FD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3454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BCFE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8E80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AB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26D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E789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9BE6B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2ADB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21AFC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EE96C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641BF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E96A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FD0A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2DCD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F547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1ED1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9652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A343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511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P组分，血清（SAP），也称为PTX2或APCS，是淀粉样P组分（AP）的相同血清形式，一种25kDa五聚体蛋白，首次被鉴定为体内病理沉积物的五角体成分，称为“淀粉样蛋白”。它属于pentraxins家族，以钙依赖性配体结合和独特的扁平β-胶状结构为特征，类似于豆类凝集素。该基因定位于1q23.2。编码蛋白与病理性淀粉样交叉β折叠蛋白的结合表明其可能作为伴侣发挥作用。这种蛋白质也被认为可以控制染色质的降解。已经证明，该蛋白在早期阶段与凋亡细胞结合，这增加了它参与体内处理凋亡细胞的可能性。</w:t>
      </w:r>
    </w:p>
    <w:p w14:paraId="334858BE">
      <w:pPr>
        <w:ind w:firstLine="441" w:firstLineChars="0"/>
        <w:rPr>
          <w:rFonts w:hint="default" w:ascii="Times New Roman" w:hAnsi="Times New Roman" w:cs="Times New Roman"/>
        </w:rPr>
      </w:pPr>
    </w:p>
    <w:p w14:paraId="15906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130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00EC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33F5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4B88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D442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BDF9F5">
      <w:pPr>
        <w:rPr>
          <w:rFonts w:hint="default" w:ascii="Times New Roman" w:hAnsi="Times New Roman" w:cs="Times New Roman"/>
        </w:rPr>
      </w:pPr>
      <w:r>
        <w:rPr>
          <w:rFonts w:hint="default" w:ascii="Times New Roman" w:hAnsi="Times New Roman" w:cs="Times New Roman"/>
        </w:rPr>
        <w:br w:type="page"/>
      </w:r>
    </w:p>
    <w:p w14:paraId="71099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A14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4A7A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73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CE4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D5E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B7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5A9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E54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AD9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6EE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E7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D4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75C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D71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C8C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4E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88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1F9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660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421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19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67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B84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833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08F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99E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40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AE6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E67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937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99B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F4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A20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3CA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96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15A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D0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073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FCE1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77E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1FB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7DA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04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6EE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D430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AEC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92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E2A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E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61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440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D36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BAA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BA3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2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BF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A4B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806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6BC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FD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E4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ECE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E4F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235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49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9F56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13E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51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160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9517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824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48B5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78A7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41D3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CF3D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AFE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B132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9308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347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33E8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86C5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82C0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A661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867B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2C8F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A137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FA23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CFC0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2FE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2D5A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86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3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B3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4A3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B8C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28B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B86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B4F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1E51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B86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94D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D49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3C6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003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731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5914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7571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9FB0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704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292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009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B4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057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30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D9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F00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185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40A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946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BB6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048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8E49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A4C5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6E8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A107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9FC4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F3D7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ED09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A97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A555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2F13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514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E505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F89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C22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D934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04A9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4D79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B1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180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E697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7E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AC9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B66C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4C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C606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DBB6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0A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01F5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940F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EA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504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C40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AF9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406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236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F9A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570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86F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B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3B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35B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52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C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8C9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84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B5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0F4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6F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065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420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CC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41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96C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0B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3D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A13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D2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FC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C4E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F3C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9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37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219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2D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C5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35A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2C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EE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4D4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4E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07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27E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58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B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6B6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AF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B5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058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DC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D8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53F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DF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1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1D9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C5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B3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113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62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C5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004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29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8A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1A4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F1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3C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D74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BF47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8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83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92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64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C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90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8C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A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1C6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E7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2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1BE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0C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2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E3D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CC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D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5FC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CEBA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4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5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6E1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33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B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84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4D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22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4B3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EF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07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32C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FA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8D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8AE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77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D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38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CE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3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43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39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D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E3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5A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42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8F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13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A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63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9F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C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88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BA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6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FF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1F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F8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C4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43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98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8E1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80E9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538A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8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F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73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61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0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83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6C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1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D34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4F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80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693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4A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3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9AA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F8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5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23C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38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A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14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C6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2E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7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CD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05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6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16E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03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4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93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FAF0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505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5E8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A9C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35D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95F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9AC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E6C1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AFA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09E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BF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42B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324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FD0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BBC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D64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70A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3AE80F">
      <w:pPr>
        <w:rPr>
          <w:rFonts w:hint="default" w:ascii="Times New Roman" w:hAnsi="Times New Roman" w:cs="Times New Roman"/>
          <w:sz w:val="22"/>
          <w:szCs w:val="22"/>
        </w:rPr>
      </w:pPr>
    </w:p>
    <w:p w14:paraId="66A636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80D3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Serum Amyloid P/SAP/PTX2 Elisa Kit</w:t>
      </w:r>
    </w:p>
    <w:p w14:paraId="3DAEF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F5A8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AF0C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40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E7C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B57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106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B60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CF2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F9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A7C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ABC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DA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589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7165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1EB9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B56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377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C9E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D20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CD2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5166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5098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675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698B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FF6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A64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E8C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 component, serum (SAP), also known as PTX2 or APCS, is the identical serum form of amyloid P component (AP), a 25kDa pentameric protein first identified as the pentagonal constituent of in vivo pathological deposits called "amyloid". It belongs to the pentraxins family, characterised by calcium dependent ligand binding and distinctive flattened β-jellyroll structure similar to that of the legume lectins. This gene is mapped to 1q23.2. The binding of the encoded protein to proteins in the pathological amyloid cross-beta fold suggests its possible role as a chaperone. This protein is also thought to control the degradation of chromatin. It has been demonstrated that this protein binds to apoptotic cells at an early stage, which raises the possibility that it is involved in dealing with apoptotic cells in vivo.</w:t>
      </w:r>
    </w:p>
    <w:p w14:paraId="4E8C8FE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15C9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3C68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CFC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FB7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B1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EE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3E2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2DD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0CF08F">
      <w:pPr>
        <w:rPr>
          <w:rFonts w:hint="default" w:ascii="Times New Roman" w:hAnsi="Times New Roman" w:cs="Times New Roman"/>
          <w:b/>
          <w:bCs/>
          <w:sz w:val="28"/>
          <w:szCs w:val="28"/>
        </w:rPr>
      </w:pPr>
    </w:p>
    <w:p w14:paraId="1B83799E">
      <w:pPr>
        <w:rPr>
          <w:rFonts w:hint="default" w:ascii="Times New Roman" w:hAnsi="Times New Roman" w:cs="Times New Roman"/>
          <w:b/>
          <w:bCs/>
          <w:sz w:val="28"/>
          <w:szCs w:val="28"/>
        </w:rPr>
      </w:pPr>
    </w:p>
    <w:p w14:paraId="138E5356">
      <w:pPr>
        <w:rPr>
          <w:rFonts w:hint="default" w:ascii="Times New Roman" w:hAnsi="Times New Roman" w:cs="Times New Roman"/>
          <w:b/>
          <w:bCs/>
          <w:sz w:val="28"/>
          <w:szCs w:val="28"/>
        </w:rPr>
      </w:pPr>
    </w:p>
    <w:p w14:paraId="69D8E0D7">
      <w:pPr>
        <w:rPr>
          <w:rFonts w:hint="default" w:ascii="Times New Roman" w:hAnsi="Times New Roman" w:cs="Times New Roman"/>
          <w:b/>
          <w:bCs/>
          <w:sz w:val="28"/>
          <w:szCs w:val="28"/>
        </w:rPr>
      </w:pPr>
    </w:p>
    <w:p w14:paraId="5A1937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A28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36E7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79D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BF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D4F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797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6F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D02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D41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644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C63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FA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67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141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A56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F64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A2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89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D52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9DB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160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B7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CA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4D0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B3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857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07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75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923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404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91B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DC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DD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54F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98D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3C0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00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D4B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717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A7EA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380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6D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E9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0BF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1EA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4B5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D6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F7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F5A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3EC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8F7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B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F6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5FD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C4E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5D0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7C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17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ACC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A46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88A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4A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B2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B3D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A09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F84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819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5C1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163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76E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F5E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2D0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17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1FA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F626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B417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BB15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BED4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B9BD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4106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E5E3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4FB7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4F7C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44E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08D5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1AB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968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EBC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480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12B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BF5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BB4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B17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D7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BCF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B2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713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99C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DE9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181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68A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236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E02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BB4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B19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A7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3AA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860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789E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0ED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6EF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ED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8CF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FF6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9C2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CF3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87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BE0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E30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A8B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04E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04D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7F9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CD8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112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C42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2B8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562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D3F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AD6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6B3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509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1ED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79BD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82C2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B9A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7BF2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AF78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D76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B17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4C3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90B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37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493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F1F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F5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C32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7070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C0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5F83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E01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8A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28D7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F6E2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EF1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4E3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C73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606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39D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7C3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51B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59BB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6F4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906F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584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129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E746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B2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BA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7DE1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F4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BC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50F0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C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35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AF5A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3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93A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29BB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2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2D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116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89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7D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0EB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98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3C6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C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A38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F84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5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CE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88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D5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C76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07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40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B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E28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04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F1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B9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E2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F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385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83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B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162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56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876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82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12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A2E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47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96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5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30E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7D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860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84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F6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9E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95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A74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6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F5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48D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76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28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12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8B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30FD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A9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96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00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6D5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949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74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5C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F4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A2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5A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BF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686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5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A04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F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7A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B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95E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24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91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A37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D3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CE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E7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93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0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19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0D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D5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FF7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4D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8F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6B1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B6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8D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A68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8B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E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6BE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F5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AA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AE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BA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EC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02E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94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F1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D3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7C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78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8B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63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6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B7B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948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475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2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EF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5AC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27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3162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562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AB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97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4A9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97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18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C30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2C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D43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B9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2D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1B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5BF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E6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9D4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096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2F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AC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0E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C4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31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82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9E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89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28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024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11E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07A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C36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D05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2A6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870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B6A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F71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D82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3E7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5DB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5B5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C9E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454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84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3E2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B6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08C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608C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569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1636CE">
    <w:pPr>
      <w:pStyle w:val="6"/>
      <w:jc w:val="both"/>
    </w:pPr>
  </w:p>
  <w:p w14:paraId="50F71CB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9AE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AC4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9278EE"/>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7616</Words>
  <Characters>12434</Characters>
  <Lines>251</Lines>
  <Paragraphs>70</Paragraphs>
  <TotalTime>0</TotalTime>
  <ScaleCrop>false</ScaleCrop>
  <LinksUpToDate>false</LinksUpToDate>
  <CharactersWithSpaces>13293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