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2041B">
      <w:pPr>
        <w:pStyle w:val="2"/>
        <w:bidi w:val="0"/>
        <w:jc w:val="center"/>
        <w:rPr>
          <w:rFonts w:hint="default" w:ascii="Times New Roman" w:hAnsi="Times New Roman" w:cs="Times New Roman"/>
          <w:b/>
          <w:bCs w:val="0"/>
          <w:sz w:val="36"/>
          <w:szCs w:val="36"/>
        </w:rPr>
      </w:pPr>
      <w:r>
        <w:rPr>
          <w:rFonts w:hint="eastAsia"/>
          <w:b/>
          <w:bCs/>
          <w:sz w:val="36"/>
          <w:szCs w:val="36"/>
        </w:rPr>
        <w:t>Rat TNFRSF13C/BAFFR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7211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46.8–3000pg/ml</w:t>
      </w:r>
    </w:p>
    <w:p w14:paraId="5FB9C0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4A5014C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7B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6E1AE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2685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1619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5451E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F74F4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7515D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33AA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DFA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F5E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A5CBB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4AB235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32E641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3C3AA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6FA0E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39E51A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4732F3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46.8</w:t>
            </w:r>
          </w:p>
        </w:tc>
        <w:tc>
          <w:tcPr>
            <w:tcW w:w="1134" w:type="dxa"/>
            <w:vAlign w:val="center"/>
          </w:tcPr>
          <w:p w14:paraId="726429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F20D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455B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619D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52D0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86C3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4ED6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A49A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 细胞刺激因子受体(B-cell Activating Factor Receptor，简称BAFFR)，也称为TNFRSF13C，是T细胞活化因子(TNF)受体超家族的一员，主要在B细胞上表达，是B细胞增殖和分化的主要膜蛋白受体之一。BAFFR通过与BAFF的结合，激活非经典的NF-κB2通路，抑制凋亡基因表达，从而维持B细胞的存活。BAFFR主要在阑尾、脾、淋巴结、扁桃体、骨髓中高表达，而在结肠和直肠低表达，其他组织几乎不表达。</w:t>
      </w:r>
    </w:p>
    <w:p w14:paraId="7770BF15">
      <w:pPr>
        <w:ind w:firstLine="441" w:firstLineChars="0"/>
        <w:rPr>
          <w:rFonts w:hint="default" w:ascii="Times New Roman" w:hAnsi="Times New Roman" w:cs="Times New Roman"/>
        </w:rPr>
      </w:pPr>
    </w:p>
    <w:p w14:paraId="55D02C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CCF9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BFBA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4E4C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39E83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E637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AFFCA3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64AF7A">
      <w:pPr>
        <w:rPr>
          <w:rFonts w:hint="default" w:ascii="Times New Roman" w:hAnsi="Times New Roman" w:cs="Times New Roman"/>
        </w:rPr>
      </w:pPr>
      <w:r>
        <w:rPr>
          <w:rFonts w:hint="default" w:ascii="Times New Roman" w:hAnsi="Times New Roman" w:cs="Times New Roman"/>
        </w:rPr>
        <w:br w:type="page"/>
      </w:r>
    </w:p>
    <w:p w14:paraId="376C9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16FD5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43DC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03E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34D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39C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468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4A70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C646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FF5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B135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1A5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619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7DE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3068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E3A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815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C6D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501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EDA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629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695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64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1EE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3C35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7CC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B31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0A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F5C9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22B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E39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53C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16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8EEC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A85F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026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7E1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585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99A1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E983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5B4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5FEF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529D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C4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6B48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D3F09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46E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FEF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278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24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B5F2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FD8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CDF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B5EC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FFD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D0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7D11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E6B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B8C4A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D9B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1F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72C4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137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0E43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06B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E03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4B5A3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BA9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AFED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985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CB24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E81F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6FBE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1BEC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0EDC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FEC2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CA5E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CB16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A15828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D5CF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3F42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76F0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AE19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3E2A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1A330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86D13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A1EAFA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859E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AFD1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CAE5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AFD0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DA3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D44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926C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87E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321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C30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01A7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779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4F4A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FCC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F48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7A3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798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E551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9B15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89FEB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C38C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9140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FB61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9E1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BAC9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3F3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60DC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8BB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9CE9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5F2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683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EE88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607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B9A5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53975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6E6E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15EA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4288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75A8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C5AD0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829E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7FBE4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54D1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FAF49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6E88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F12D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73111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D7E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4459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6AA9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902B1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AFB23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31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7B95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900D9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1FB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5951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170B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B1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0641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C2D3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11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7D46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A756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D88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7146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569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DCBD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8F7F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8404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425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30C1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1B3E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1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121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8E81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E6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D6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092E4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C17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88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AB9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BE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BD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AE3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B4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26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3F7E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7FC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33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0BD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B6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1D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024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EC22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94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81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0CF9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33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19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1027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A1A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7C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1CDEC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80C7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36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368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20EE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A00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9CE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91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49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8B0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9E6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EFE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B6E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8A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13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CBF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46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1B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CA61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EBF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C43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8E14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60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EE7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FBF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F74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ED9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5C54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9E51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BF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82A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1C0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E8D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DB4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CD4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600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47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4E6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2F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BC2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68F6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1815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0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BC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9F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E5F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F5E2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33A7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B1F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C5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8D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211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3E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D6A2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8B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1A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4653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D75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51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149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7B9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FA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5DD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26A5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C7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040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983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71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4B4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93B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C4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6B80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E96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C5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C27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CEA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25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B701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953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4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650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7C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0A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65F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FB2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6FC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1A4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F3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A6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EB2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0986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4157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8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4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7A0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36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D8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A7B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ED0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E39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8C8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29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50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F29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E9A7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3A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A4E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AE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C2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6F1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9FE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1F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CA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8B8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688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8B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338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9E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44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85B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1830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C0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BFAA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4F0C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F022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1A75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DF2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B9732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FB1A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42D2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545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8809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52A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82F68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651D8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9CD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5E7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69B6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4758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8E2EB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3327C9">
      <w:pPr>
        <w:rPr>
          <w:rFonts w:hint="default" w:ascii="Times New Roman" w:hAnsi="Times New Roman" w:cs="Times New Roman"/>
          <w:sz w:val="22"/>
          <w:szCs w:val="22"/>
        </w:rPr>
      </w:pPr>
    </w:p>
    <w:p w14:paraId="315D805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3AA3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TNFRSF13C/BAFFR Elisa Kit</w:t>
      </w:r>
    </w:p>
    <w:p w14:paraId="4AFB23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46.8–3000pg/ml</w:t>
      </w:r>
    </w:p>
    <w:p w14:paraId="5FB866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0E3EB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5EA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342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E82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C46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981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73D2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396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3BD8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9D1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00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04B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9B2B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10396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36116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61A66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3F3AE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1B950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46.8</w:t>
            </w:r>
          </w:p>
        </w:tc>
        <w:tc>
          <w:tcPr>
            <w:tcW w:w="1037" w:type="dxa"/>
            <w:vAlign w:val="center"/>
          </w:tcPr>
          <w:p w14:paraId="14BAC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8F77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550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FD15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A23F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7B96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4AC5D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C288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B-cell Activating Factor Receptor (BAFFR), also known as TNFRSF13C, is a member of the tumor necrosis factor (TNF) receptor superfamily and is mainly expressed on B cells. It is one of the primary membrane protein receptors involved in B cell proliferation and differentiation. BAFFR maintains B cell survival by binding to BAFF, activating the non-classical NF-κB2 pathway, and inhibiting the expression of apoptosis-related genes. BAFFR is highly expressed in the appendix, spleen, lymph nodes, tonsils, and bone marrow, while its expression is low in the colon and rectum, and it is almost absent in other tissues.</w:t>
      </w:r>
    </w:p>
    <w:p w14:paraId="23D229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3D3B9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5A21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5E7D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A5C9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F9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24A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65F1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A19A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C3B327">
      <w:pPr>
        <w:rPr>
          <w:rFonts w:hint="default" w:ascii="Times New Roman" w:hAnsi="Times New Roman" w:cs="Times New Roman"/>
          <w:b/>
          <w:bCs/>
          <w:sz w:val="28"/>
          <w:szCs w:val="28"/>
        </w:rPr>
      </w:pPr>
    </w:p>
    <w:p w14:paraId="02C7820F">
      <w:pPr>
        <w:rPr>
          <w:rFonts w:hint="default" w:ascii="Times New Roman" w:hAnsi="Times New Roman" w:cs="Times New Roman"/>
          <w:b/>
          <w:bCs/>
          <w:sz w:val="28"/>
          <w:szCs w:val="28"/>
        </w:rPr>
      </w:pPr>
    </w:p>
    <w:p w14:paraId="714AB8C0">
      <w:pPr>
        <w:rPr>
          <w:rFonts w:hint="default" w:ascii="Times New Roman" w:hAnsi="Times New Roman" w:cs="Times New Roman"/>
          <w:b/>
          <w:bCs/>
          <w:sz w:val="28"/>
          <w:szCs w:val="28"/>
        </w:rPr>
      </w:pPr>
    </w:p>
    <w:p w14:paraId="3B275BA9">
      <w:pPr>
        <w:rPr>
          <w:rFonts w:hint="default" w:ascii="Times New Roman" w:hAnsi="Times New Roman" w:cs="Times New Roman"/>
          <w:b/>
          <w:bCs/>
          <w:sz w:val="28"/>
          <w:szCs w:val="28"/>
        </w:rPr>
      </w:pPr>
    </w:p>
    <w:p w14:paraId="274F8C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38C1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A1592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A28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5805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189D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EFB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303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F48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6851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C1372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39C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54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675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4EAA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6706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634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312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3B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900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A9E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84A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7EDF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0AE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4CA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71A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90FF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78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638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506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331E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4688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50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7B8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F1C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0C08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0996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DE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97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0F1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F8AD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364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2B5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B9B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F4ED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BCB7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4B1A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EC5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13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356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216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AA80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76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08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E4C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E43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BD1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88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40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05271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A57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065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BCB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AB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28E0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E71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A998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3619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1542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5107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6D2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C626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9A2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8308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73A6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134B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6107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CEB15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915AF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44F3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87A2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1B833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9885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C86A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677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C041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6C1C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EC8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0F61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5B9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AEB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EBA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61B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094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355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AE8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FAC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7236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C97A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1CD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0EC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74AD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E4C1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17D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750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840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20D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6E6B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06F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41BB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6FD2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9189B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16F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DB19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D86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971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7EF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0014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DA3E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B52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1A1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F87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9D7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BDC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CDC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3D2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D3F0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BF1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6548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EA8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E9B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552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89D3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7515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3FD1F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C3813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85380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F280F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ECCDF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387BA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BDDF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BA0B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1E8B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31B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6BB8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DE857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8F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C017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7F8C9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1DA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FFA3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25EF5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6C8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3E1E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8D76B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8B70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05E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162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62C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260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263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5141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3252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AC67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23F1F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E79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3F6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B2F4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9B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DC8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0590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A8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38E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8F5B2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862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B2E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2FC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4C1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5F6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1CFF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DB2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A50E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91FD0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186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6B45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DB6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310B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467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F4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D33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476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8E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61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B71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AB2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B7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C7B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B2A8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36C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AA0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CA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AD08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CCCB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D6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C27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545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D0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C32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A4F7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1B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EC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8A3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5B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279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CB5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67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6BE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AB2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0E0C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D9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1E57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0D5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109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47A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3A88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EE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366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791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D9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677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6D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045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FA0A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9B4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320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E2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677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574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DAE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EB8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74A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01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4BE9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9A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4EF1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7B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CB7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0CE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67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BE1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929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F3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40E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72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932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9C8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4D4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35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0B7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ACC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493B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23D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BD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D69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A89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22D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6C8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B6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71A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A59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08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484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7F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02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9FE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28F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891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8933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F36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911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AD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16F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56A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713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3D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09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528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467D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3A5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B8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4B8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A6D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4F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D1E6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4F40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0AF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3EF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CB3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550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2EC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2B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D6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439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BBE4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BBB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399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018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0F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20E6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A61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F5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8E2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8A6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46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2B3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36D4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BF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651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5C26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F1F6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5F1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0A6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534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19D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54E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67D0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44B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08C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63D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A369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ED4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2FE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7FD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89C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F34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5406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4392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E61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CE61E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78D1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23C63A">
    <w:pPr>
      <w:pStyle w:val="6"/>
      <w:jc w:val="both"/>
    </w:pPr>
  </w:p>
  <w:p w14:paraId="51638D5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B07C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C59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889303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7512</Words>
  <Characters>12226</Characters>
  <Lines>251</Lines>
  <Paragraphs>70</Paragraphs>
  <TotalTime>0</TotalTime>
  <ScaleCrop>false</ScaleCrop>
  <LinksUpToDate>false</LinksUpToDate>
  <CharactersWithSpaces>13051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2026-06-24T05:38:19Z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