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02CEF7">
      <w:pPr>
        <w:pStyle w:val="2"/>
        <w:bidi w:val="0"/>
        <w:jc w:val="center"/>
        <w:rPr>
          <w:rFonts w:hint="default" w:ascii="Times New Roman" w:hAnsi="Times New Roman" w:cs="Times New Roman"/>
          <w:b/>
          <w:bCs w:val="0"/>
          <w:sz w:val="36"/>
          <w:szCs w:val="36"/>
        </w:rPr>
      </w:pPr>
      <w:r>
        <w:rPr>
          <w:rFonts w:hint="eastAsia"/>
          <w:b/>
          <w:bCs/>
          <w:sz w:val="36"/>
          <w:szCs w:val="36"/>
        </w:rPr>
        <w:t>Rat PTAFR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2282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38C0C5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4E0F5B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CD46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2A2C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0B57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9E930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9CBFE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DA98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E8AE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1FDA2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7A7C8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FBF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4842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2C9AD3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9BCB4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BCCD3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221A7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61B70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9EE3C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101F3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46848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51A4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1CE8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B4B0E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D3ED2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6C6B8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D404E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TAFR（血小板活化因子受体）是一种蛋白质编码基因。与PTAFR相关的疾病包括大疱性Myrinitis出血和焦虑。其相关途径包括GPCR下游信号传导和A/1类（红视蛋白样受体）。与该基因相关的基因本体（GO）注释包括G蛋白偶联受体活性和脂多糖结合。该基因的一个重要旁系是P2RY12。</w:t>
      </w:r>
    </w:p>
    <w:p w14:paraId="45E4CF0A">
      <w:pPr>
        <w:ind w:firstLine="441" w:firstLineChars="0"/>
        <w:rPr>
          <w:rFonts w:hint="default" w:ascii="Times New Roman" w:hAnsi="Times New Roman" w:cs="Times New Roman"/>
        </w:rPr>
      </w:pPr>
    </w:p>
    <w:p w14:paraId="3C9F0E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E05C4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7D38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DC38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CF2F2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E3C1A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A0C11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D34B72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EB8DD7E">
      <w:pPr>
        <w:rPr>
          <w:rFonts w:hint="default" w:ascii="Times New Roman" w:hAnsi="Times New Roman" w:cs="Times New Roman"/>
        </w:rPr>
      </w:pPr>
      <w:r>
        <w:rPr>
          <w:rFonts w:hint="default" w:ascii="Times New Roman" w:hAnsi="Times New Roman" w:cs="Times New Roman"/>
        </w:rPr>
        <w:br w:type="page"/>
      </w:r>
    </w:p>
    <w:p w14:paraId="64A72F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6F18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A97DE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346E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7804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A7AA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F7C9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A93F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71D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EA3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1BF7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4FAB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2FA9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4EB9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F1A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E7B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2EB0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988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46D9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EE3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F89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C5D3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A035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BFD6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CC525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F57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F6C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E3C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BFDC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16D0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B1BB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00AB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9B1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9382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6FB2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2A4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5EB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0D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E918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0D1FE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4BEB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6B8B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EA4E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658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3A3C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4D80E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2B26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F77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E37A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295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DD8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1E05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7994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9FE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8B5B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CCE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DE2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0C00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5E9F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A81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D7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403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3BEF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7D4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DB9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00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5279DB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FDD7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F2CBF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72655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B7847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E164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2EB3F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61DCA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65FDE0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6E028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C54B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897D0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64727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1F59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819D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7854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4EA64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64DD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B9982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1E628E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417FB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CF837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30E6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C5374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4285B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44A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70F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126F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330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7FC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E6E8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1A77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F768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CCB12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4E7D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79C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ADEE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9CD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24C5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35A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CBBA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7E9B1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A829C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59BB7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2371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F32F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CA85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931E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978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38B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6A7E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43DB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073D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1A5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B55EB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6E5D5A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39BD5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BB138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BFE6A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7A2C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844D2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DE6D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E79454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507B9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D6F2C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25BE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6334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F2C7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52FF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BBF5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0D961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6497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A21DB3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7D40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0199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845E8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25C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51ED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C439C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F7B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3F42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3375D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C09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159A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D464A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71D7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EAB9C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1B4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1417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6BD9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02037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EDA8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4E29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78C27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F0A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EBC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26FA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3D9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EA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FDE9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AA5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26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4D0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3C34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2E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5657B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9B74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EDA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4895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EA69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5D9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87F15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1D8E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B0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AF0C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893B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EDA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2D5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A1C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0D0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04E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98EC2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B861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977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97B6B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94A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65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73D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803A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0D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1925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BED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2B9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3FCB5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2B60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1F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A103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D0B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859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D6DB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5E0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5C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73E3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DDB1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351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52F4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7003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28F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B0A78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EB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EC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8FE7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2E3C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BF9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BFD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C3C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6E4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CA0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282F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C58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F79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4E85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E822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244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DD7E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CE9D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F08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BAA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959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26A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82F4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319C9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745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97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ED3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FA9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BE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9745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9EBD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62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E33B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6DCA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75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7C30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5928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EC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FE4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2769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DC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000D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3998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80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B61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E0E8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CD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16A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238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39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350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986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43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37DF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8CE1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30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49CF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3AC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98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1374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533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3D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6296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BEBD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10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A6E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52BB7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9F4F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DB9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14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A39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DF0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1E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678A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771F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6F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CED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3F9A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02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D129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2C4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17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E4C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83E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34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3A1B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2FEB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E5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4363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E5D2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EA85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77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A9C6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78E0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33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9973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80A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7B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E034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1728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3013D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259F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E04F2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1726C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32599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1C96A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65BFD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6F1EA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68BC9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FD15E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517EA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4B457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4A9DC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3A570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8469D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09696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0CC4426">
      <w:pPr>
        <w:rPr>
          <w:rFonts w:hint="default" w:ascii="Times New Roman" w:hAnsi="Times New Roman" w:cs="Times New Roman"/>
          <w:sz w:val="22"/>
          <w:szCs w:val="22"/>
        </w:rPr>
      </w:pPr>
    </w:p>
    <w:p w14:paraId="63416D8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7D59E4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PTAFR Elisa Kit</w:t>
      </w:r>
    </w:p>
    <w:p w14:paraId="32A888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6C0394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7F510A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0CAD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647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66DA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4948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0C6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A04F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2677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96F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3AD9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AAD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38B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0B5E9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F197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B1F6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AD13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BD59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34826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4D95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A1B35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5AAC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16B7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20CF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9F7AA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9AAB1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A7836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PTAFR (Platelet Activating Factor Receptor) is a Protein Coding gene. Diseases associated with PTAFR include Myringitis Bullosa Hemorrhagica and Anxiety. Among its related pathways are GPCR downstream signalling and Class A/1 (Rhodopsin-like receptors). Gene Ontology (GO) annotations related to this gene include G protein-coupled receptor activity and lipopolysaccharide binding. An important paralog of this gene is P2RY12.</w:t>
      </w:r>
    </w:p>
    <w:p w14:paraId="6C8694C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558F94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0247D4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6FED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0D1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719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F5E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75C3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F0D3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69AB8C6">
      <w:pPr>
        <w:rPr>
          <w:rFonts w:hint="default" w:ascii="Times New Roman" w:hAnsi="Times New Roman" w:cs="Times New Roman"/>
          <w:b/>
          <w:bCs/>
          <w:sz w:val="28"/>
          <w:szCs w:val="28"/>
        </w:rPr>
      </w:pPr>
    </w:p>
    <w:p w14:paraId="00434E56">
      <w:pPr>
        <w:rPr>
          <w:rFonts w:hint="default" w:ascii="Times New Roman" w:hAnsi="Times New Roman" w:cs="Times New Roman"/>
          <w:b/>
          <w:bCs/>
          <w:sz w:val="28"/>
          <w:szCs w:val="28"/>
        </w:rPr>
      </w:pPr>
    </w:p>
    <w:p w14:paraId="1129502D">
      <w:pPr>
        <w:rPr>
          <w:rFonts w:hint="default" w:ascii="Times New Roman" w:hAnsi="Times New Roman" w:cs="Times New Roman"/>
          <w:b/>
          <w:bCs/>
          <w:sz w:val="28"/>
          <w:szCs w:val="28"/>
        </w:rPr>
      </w:pPr>
    </w:p>
    <w:p w14:paraId="556D9AB2">
      <w:pPr>
        <w:rPr>
          <w:rFonts w:hint="default" w:ascii="Times New Roman" w:hAnsi="Times New Roman" w:cs="Times New Roman"/>
          <w:b/>
          <w:bCs/>
          <w:sz w:val="28"/>
          <w:szCs w:val="28"/>
        </w:rPr>
      </w:pPr>
    </w:p>
    <w:p w14:paraId="623AF8E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2D3B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CA377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E8A3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522E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D7C2D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7E8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7E1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D5CD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535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658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9BDE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F60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061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ECD6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9332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F3A7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786D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C48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4109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AD9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784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2244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A561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531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9F2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DB4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034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0E19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A37F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72EA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43A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745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914D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EB2A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182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6F7B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74A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5FE3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4B1BA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9E7A1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BDB0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494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D697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97AE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75E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865D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17C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2CBE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BD06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221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027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698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E3B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85C2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AA3E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047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636D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1D7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4823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755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9EB9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879B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59F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F2D2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7641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1E86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7C77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663B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937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AD12C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74D0B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7377D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C7A8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AECC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32ED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4890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5C21B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1BC01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EC86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833E9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B26F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48A98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1911F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EE75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959A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DA070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63D14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483A3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4122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5E67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FB7C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C34D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9F1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502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21A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C766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2D6AC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198A7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511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E601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926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AE8D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F2A5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1898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6B97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BECF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D18CE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E68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35CE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D243A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E5D88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A819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50E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23C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8FCC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B4D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DA4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4708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85B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9578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F6C7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388D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1BD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ECAD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DA3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4B60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78A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EE75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4B8E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6123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AA5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4B4F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45E61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594E3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2BD53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3EBCB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D2BD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F920F8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E3C65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2EA37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001A1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2E8D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7261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7ACA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89124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7C20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85B2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0E134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0B9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4833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2CC32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1E1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3222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E3B3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3AF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86DF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850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30D3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4D7C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2CC4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F990A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0914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187C3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51EAB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BDF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B8CF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9AD3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7E7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9B25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735B1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9B6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5D1C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C5D8B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02A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33DC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4AB27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EF3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F187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7F04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801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11E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7557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F1C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974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24C0A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E514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3B76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32E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0E36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AC2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0EA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200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41A7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57EC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681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78A6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6FA7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DCB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42D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FC18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470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0DF9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440D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5B5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6762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F8D9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84D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A1B5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89C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8C8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69CB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B76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BE8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F87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198F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215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A952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0C33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CA6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0F4E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6BC8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0C8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8DB2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04BF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BA1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019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88A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11F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83F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1EBC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01FE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A69BA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1BCA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1C57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05A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EF6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1CF1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4421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E0D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608A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236D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9DA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722D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ADD9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30B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F08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7D9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746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14B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57AB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B7E0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8B8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AD25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D1A2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9C6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4B6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CA21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CAB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50D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98B7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FE4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11B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EC1D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70C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6BD3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8234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147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A72C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BCA0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720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1F3E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8742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3E7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3D79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A310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8C4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F17A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F682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850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F5DB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0F12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E76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ED4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A3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890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4C1E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33059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96E47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BC8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6FF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D3D8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4008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5D11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B54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942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15B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3BC7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6869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BDA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D476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70BB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0D6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ACD3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C362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754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1E22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AD7A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2CB2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ACF8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53F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286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0FCC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D6CC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956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C15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4141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233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13C4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306C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216A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0028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3F3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6431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1E06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FFF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F7A8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35AA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78E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D832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BF88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B20F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17A8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F2F1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7050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692B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199A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9256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9256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024C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597E7C">
    <w:pPr>
      <w:pStyle w:val="6"/>
      <w:jc w:val="both"/>
    </w:pPr>
  </w:p>
  <w:p w14:paraId="654B065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2431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EB99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997664"/>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7577</Words>
  <Characters>12735</Characters>
  <Lines>251</Lines>
  <Paragraphs>70</Paragraphs>
  <TotalTime>0</TotalTime>
  <ScaleCrop>false</ScaleCrop>
  <LinksUpToDate>false</LinksUpToDate>
  <CharactersWithSpaces>13659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2026-06-24T06:58:46Z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