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3B610B">
      <w:pPr>
        <w:pStyle w:val="2"/>
        <w:bidi w:val="0"/>
        <w:jc w:val="center"/>
        <w:rPr>
          <w:rFonts w:hint="default" w:ascii="Times New Roman" w:hAnsi="Times New Roman" w:cs="Times New Roman"/>
          <w:b/>
          <w:bCs w:val="0"/>
          <w:sz w:val="36"/>
          <w:szCs w:val="36"/>
        </w:rPr>
      </w:pPr>
      <w:r>
        <w:rPr>
          <w:rFonts w:hint="eastAsia"/>
          <w:b/>
          <w:bCs/>
          <w:sz w:val="36"/>
          <w:szCs w:val="36"/>
        </w:rPr>
        <w:t>Canine FGF4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3705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360048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75AC8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909E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C172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9A17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49BD9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459FC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796EC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B570B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D856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76B13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64F3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ECAC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4C23C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C07F5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9C0B2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0DF5F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4D416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26511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2F7149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3CD84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F5B5B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DDB1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AEEB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07D34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554CE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6666C24">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成纤维细胞生长因子受体4是一种由FGFR4基因编码的蛋白质。它被映射到13 B1；13.29.8厘米。FGFR4也被指定为CD334（分化簇334）。该基因编码的蛋白质是成纤维细胞生长因子受体家族的一员，在该家族成员之间以及整个进化过程中，氨基酸序列高度保守。FGFR家族成员在配体亲和力和组织分布方面彼此不同。由一个具有代表性的胞外蛋白激酶和一个跨胞质的酪氨酸段组成。蛋白质的细胞外部分与成纤维细胞生长因子相互作用，启动一系列下游信号，最终影响有丝分裂和分化。与成员1-3相比，该基因的基因组结构包含18个外显子，而不是19或20个外显子。尽管已观察到选择性剪接，但没有证据表明该蛋白质IgIII结构域的C端半在三种不同形式之间存在差异，如成员1-3所示。该特定家族成员优先结合酸性成纤维细胞生长因子，尽管其具体功能尚不清楚，但在妇科肿瘤样本中过度表达，表明其在乳腺和卵巢肿瘤发生中起作用。</w:t>
      </w:r>
    </w:p>
    <w:p w14:paraId="517BEEAD">
      <w:pPr>
        <w:ind w:firstLine="441" w:firstLineChars="0"/>
        <w:rPr>
          <w:rFonts w:hint="default" w:ascii="Times New Roman" w:hAnsi="Times New Roman" w:cs="Times New Roman"/>
        </w:rPr>
      </w:pPr>
    </w:p>
    <w:p w14:paraId="27E657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F4EC2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5DC0C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94C25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1B762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BC3E67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C1AD2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5BB9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0A93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02F2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01D9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9BC7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8F3C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3F8A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3A404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FD92C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A7D7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B64A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5FB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DA65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CCD3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E6A5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DA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5DA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08CC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08F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C49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5140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BAE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5F12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A231D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208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DCD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950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62F2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66BE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0781A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1D9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011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F753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D06A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EF5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A95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153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FDF2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1A1A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04FD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431F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FCE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CE5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79A0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6DA5E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8BFB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360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892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878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37A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68CE4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9A95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87E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185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4D1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04B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B13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AF19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676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17F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641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A1D6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FFC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413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3750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717DE7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45A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A42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EBA4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DABDC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5A4185C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B491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DACE25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244B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374E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EA1B2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F72B97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0C761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6F6F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5F18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3F4C6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608A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C5062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1201C0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06B430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385E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0232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5DE04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4E968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9B31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D9C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7EA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064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82E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9400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ED44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8779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43947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B707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25E6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420D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D33F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DB3E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539E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D082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5DD4F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505C3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CAF51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5DF2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DD07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AB90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7D9B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9B12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CCC6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DD25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42F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C36B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8EF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2884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91B39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853BD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09AE5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0DBFF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F2A93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DED0D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9C823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3F148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975DD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C0505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A876E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E23D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76A6E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6509E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023F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A8D83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CB93E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8B1447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9DD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9CD7E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A9637E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6FA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52EA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EC3B4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6C4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BAAB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8090F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41B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BED7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5F562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7BEB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D0C8E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40E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D69D6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D14C9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5E991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6CE4E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DDB0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061E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DCC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54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56D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922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9C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B07C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1EFF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191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3E6F0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62B3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15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B883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167E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C3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C0F8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88E2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FD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C3A9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D0FD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C2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BBBF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E295C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98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70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DA1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0DA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1E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2E6BF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0825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798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FD52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1B5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9BD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4F60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3EBD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64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84DC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311B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E47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2C78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9E5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70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4937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D80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EE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D9C70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43B3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36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8C00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2E90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74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84EEA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827C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3F7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6DC68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9595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8D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528B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15CFB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11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EC1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8D9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6C3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DFB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EEAE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22EF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64C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4C02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0CC4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5EA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792B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0E66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4B7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0992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E01F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964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9B68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78B73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991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97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F02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B8F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0D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B65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F92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A1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B96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88E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76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5974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76A0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86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217A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D90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5E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594A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0EC3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15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9B6C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52C6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74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BEA8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CA14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C6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C815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596E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D8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C39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B568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17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5AE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3B0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7B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031D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9574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A1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DA9F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89DF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87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106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3EEB8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6584B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5A7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A7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400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634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E5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6BB4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9152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C5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98D9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B225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BD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AEB3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AE75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09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253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33A8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F3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EB9D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556A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8B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557E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835E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126E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74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EC3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02FD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C8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076A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AA9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0F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0060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7339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3753D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273CE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5B052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DD24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0D616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688D1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FC802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96B0D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F0EAD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32B10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1E5AE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8ECF1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4B11A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517F2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D9B31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FC8C9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41FB1E">
      <w:pPr>
        <w:rPr>
          <w:rFonts w:hint="default" w:ascii="Times New Roman" w:hAnsi="Times New Roman" w:cs="Times New Roman"/>
          <w:sz w:val="22"/>
          <w:szCs w:val="22"/>
        </w:rPr>
      </w:pPr>
    </w:p>
    <w:p w14:paraId="3C53C2B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E0B7DA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FGF4 Elisa Kit</w:t>
      </w:r>
    </w:p>
    <w:p w14:paraId="484F51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112EEA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44DD57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7490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1F3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1D42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E92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FD7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EA67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9A2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0425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211C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DE2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70C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FE90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B0F7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FBFC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52B9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ADF9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2E03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168BE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A5B80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69878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03A9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D334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7D4F9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7768E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029C8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Fibroblast growth factor receptor 4 is a protein that in humans is encoded by the FGFR4 gene. It is mapped to 13 B1; 13 29.8 cM. FGFR4 has also been designated as CD334 (cluster of differentiation 334). The protein encoded by this gene is a member of the fibroblast growth factor receptor family, where amino acid sequence is highly conserved between members and throughout evolution. FGFR family members differ from one another in their ligand affinities and tissue distribution. A full-length representative protein would consist of an extracellular region, composed of three immunoglobulin-like domains, a single hydrophobic membrane-spanning segment and a cytoplasmic tyrosine kinase domain. The extracellular portion of the protein interacts with fibroblast growth factors, setting in motion a cascade of downstream signals, ultimately influencing mitogenesis and differentiation. The genomic organization of this gene, compared to members 1-3, encompasses 18 exons rather than 19 or 20. Although alternative splicing has been observed, there is no evidence that the C-terminal half of the IgIII domain of this protein varies between three alternate forms, as indicated for members 1-3. This particular family member preferentially binds acidic fibroblast growth factor and, although its specific function is unknown, it is overexpressed in gynecological tumor samples, suggesting a role in breast and ovarian tumorigenesis.</w:t>
      </w:r>
    </w:p>
    <w:p w14:paraId="147623D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B5D2359">
      <w:pPr>
        <w:rPr>
          <w:rFonts w:hint="default" w:ascii="Times New Roman" w:hAnsi="Times New Roman" w:eastAsia="宋体" w:cs="Times New Roman"/>
          <w:b/>
          <w:bCs/>
          <w:color w:val="000000"/>
          <w:kern w:val="0"/>
          <w:sz w:val="24"/>
          <w:szCs w:val="24"/>
          <w:lang w:val="en-US" w:eastAsia="zh-CN" w:bidi="ar"/>
        </w:rPr>
      </w:pPr>
    </w:p>
    <w:p w14:paraId="24F1CEC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4F9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84A0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DBE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ECFD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DD1F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53D2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C8DC7A9">
      <w:pPr>
        <w:rPr>
          <w:rFonts w:hint="default" w:ascii="Times New Roman" w:hAnsi="Times New Roman" w:cs="Times New Roman"/>
          <w:b/>
          <w:bCs/>
          <w:sz w:val="28"/>
          <w:szCs w:val="28"/>
        </w:rPr>
      </w:pPr>
    </w:p>
    <w:p w14:paraId="48ABB065">
      <w:pPr>
        <w:rPr>
          <w:rFonts w:hint="default" w:ascii="Times New Roman" w:hAnsi="Times New Roman" w:cs="Times New Roman"/>
          <w:b/>
          <w:bCs/>
          <w:sz w:val="28"/>
          <w:szCs w:val="28"/>
        </w:rPr>
      </w:pPr>
    </w:p>
    <w:p w14:paraId="451D5034">
      <w:pPr>
        <w:rPr>
          <w:rFonts w:hint="default" w:ascii="Times New Roman" w:hAnsi="Times New Roman" w:cs="Times New Roman"/>
          <w:b/>
          <w:bCs/>
          <w:sz w:val="28"/>
          <w:szCs w:val="28"/>
        </w:rPr>
      </w:pPr>
    </w:p>
    <w:p w14:paraId="3A6CCFDA">
      <w:pPr>
        <w:rPr>
          <w:rFonts w:hint="default" w:ascii="Times New Roman" w:hAnsi="Times New Roman" w:cs="Times New Roman"/>
          <w:b/>
          <w:bCs/>
          <w:sz w:val="28"/>
          <w:szCs w:val="28"/>
        </w:rPr>
      </w:pPr>
    </w:p>
    <w:p w14:paraId="783D20F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F82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ED273E8">
      <w:pPr>
        <w:rPr>
          <w:rFonts w:hint="default" w:ascii="Times New Roman" w:hAnsi="Times New Roman" w:cs="Times New Roman"/>
          <w:b/>
          <w:bCs/>
          <w:sz w:val="28"/>
          <w:szCs w:val="28"/>
        </w:rPr>
      </w:pPr>
      <w:bookmarkStart w:id="0" w:name="_GoBack"/>
      <w:bookmarkEnd w:id="0"/>
    </w:p>
    <w:p w14:paraId="7310BC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E7B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02137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97CB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6F3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22B4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6DC5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AFED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A466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F2F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079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9245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F8BB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744D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0E0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5E5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DF0A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692D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5FB5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BEA8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3A62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CFDC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47A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019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092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0854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FF373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5CA2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B1AD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D44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DD4D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B423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572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6B83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313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F31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BB329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EF490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92E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3BC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3F30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4CF2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6B2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4402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D893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3CB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E43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755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582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C59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1A4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F76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9995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2ACF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6D2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04E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A0D6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9547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986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316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199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F3C7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4C1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7EDA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0AF5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6197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5C35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25505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D1F57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095F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6081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3F66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7750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4450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CD742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1EEDC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CBB6F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DB0D9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28D6C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765A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E30CD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C134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BFC41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870EC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4DD82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04F9E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50C6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F903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AEF0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30E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C75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EA0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FFB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CFA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0BA05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5643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149B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CAC2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352A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9342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B496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6CD3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C75F2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15A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E5D88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BF74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977A6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A625F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40AA8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55C2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E414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9A40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56ED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DF5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9778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7107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074A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D51A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6208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4E38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CDD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1FDA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123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E069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E10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3A07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ADB5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4222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52AA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E58C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EA31B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66491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E7662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00AB6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8A590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3BBA08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BB157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1F916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C56E0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ACC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2960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AFC2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79D4F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CB7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259E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CB0DF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D190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7461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B8606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6F7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D750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5D7DD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44F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112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BA5F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A662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31E7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9645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26BCA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55F63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759C1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9FB59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35F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7D1A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F368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EC4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3812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281FF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7BE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AFEB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B084A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931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E52F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7B8BC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41D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71B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F3E9C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FE6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C1D0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AF868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251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CFCA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FE7DF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1261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AAE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050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9A16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30E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8BC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85A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706D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680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2AA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036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BCE6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E0F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90D0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94E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87A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12BC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BB8E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BFA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F9BE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34F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73C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69E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BD39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A0E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2F3D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A248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951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FA2E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BBEE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323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7642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9265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973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EAE8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ECE8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370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247B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698A2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13D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89D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7BD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B70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061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A964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F039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0117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03D4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43F2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6117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124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900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4765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74D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DC14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941F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941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5EA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0069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2B1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3BD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C3F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244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188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0C7C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280C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1B2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BE4E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06CC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948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F75A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78BE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2CF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83F0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1966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AA7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C00E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26C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18A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6F25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6C99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C3D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F8FA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33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01F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B9F3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742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620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90C5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7DF3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E4B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952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E0E2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5F7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982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C672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A3D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30AA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6742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4FF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3F0B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FB149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82AE4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BF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2489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D066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031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0349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FB55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D992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89E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1683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59F6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322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D34B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BCCD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BE3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8C1D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48C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65E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C9F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80B2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0072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4023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51C6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DAA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E84C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74CF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A77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C91A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3851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EA4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4DD1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AB43B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490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C738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C9DB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1A47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4B5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0E4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9885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6E1F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1CE7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E09F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1FA2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B21F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nd the factory results or the increase in the difference between batches of kits.</w:t>
      </w:r>
    </w:p>
    <w:p w14:paraId="25B2A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E228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00F0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FED4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DB40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1E820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71E820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269C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0AC9B6B">
    <w:pPr>
      <w:pStyle w:val="6"/>
      <w:jc w:val="both"/>
    </w:pPr>
  </w:p>
  <w:p w14:paraId="695CD7A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8648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AEC9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175BE7"/>
    <w:rsid w:val="2A7C3754"/>
    <w:rsid w:val="2AFF455F"/>
    <w:rsid w:val="2BE61D13"/>
    <w:rsid w:val="2DAD2928"/>
    <w:rsid w:val="2EDC696B"/>
    <w:rsid w:val="300D1AF8"/>
    <w:rsid w:val="315E69B5"/>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10970</Words>
  <Characters>29634</Characters>
  <Lines>251</Lines>
  <Paragraphs>70</Paragraphs>
  <TotalTime>0</TotalTime>
  <ScaleCrop>false</ScaleCrop>
  <LinksUpToDate>false</LinksUpToDate>
  <CharactersWithSpaces>33558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2026-08-18T07:09:24Z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