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FAD64">
      <w:pPr>
        <w:pStyle w:val="2"/>
        <w:bidi w:val="0"/>
        <w:jc w:val="center"/>
        <w:rPr>
          <w:rFonts w:hint="default" w:ascii="Times New Roman" w:hAnsi="Times New Roman" w:cs="Times New Roman"/>
          <w:b/>
          <w:bCs w:val="0"/>
          <w:sz w:val="36"/>
          <w:szCs w:val="36"/>
        </w:rPr>
      </w:pPr>
      <w:r>
        <w:rPr>
          <w:rFonts w:hint="eastAsia"/>
          <w:b/>
          <w:bCs/>
          <w:sz w:val="36"/>
          <w:szCs w:val="36"/>
        </w:rPr>
        <w:t>Canine GDF-15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4664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BC0A2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EFC4B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39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E9F6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3F57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41841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4DF2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0A59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38F7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FDB3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F1D1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A05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638E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FEB7D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32C9E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F36AC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61E04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6E9A2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89AB7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B59B4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1FBF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17AA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0C1B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BF75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9689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E411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7526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生长分化因子15（GDF-15），又称巨噬细胞抑制性细胞因子1（MIC-1）。MIC-1mRNA在单核细胞样细胞中的表达受多种与活化相关的刺激物上调，包括白细胞介素1β、肿瘤坏死因子α（TNF-α）、白细胞介素2和巨噬细胞集落刺激因子，而不是干扰素γ或脂多糖（LPS）。在正常和病理状态下，它在心肌细胞、脂肪细胞、巨噬细胞、内皮细胞和血管平滑肌细胞中高度表达。GDF-15在组织损伤和炎症状态下增加，并与心脏代谢风险相关。GDF-15水平升高与心血管疾病有关，如肥大、心力衰竭、动脉粥样硬化、内皮功能障碍、肥胖、胰岛素抵抗、糖尿病和糖尿病慢性肾病。GDF-15水平升高与病情进展和预后有关。</w:t>
      </w:r>
    </w:p>
    <w:p w14:paraId="6CA006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A19A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9D6C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8A1D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507F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EBA22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3A11A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892E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6C8F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C7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9D9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F9D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3F6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464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12A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20E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0B9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9F5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F29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774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2DF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773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A9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9CB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6C0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653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EA6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4B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106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93D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9DB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113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CEA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BA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62F8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9A5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DDD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B2C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3E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803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B12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EDD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C92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E4F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1E57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41AC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465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2F4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3AE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6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B995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D2C1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875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FDA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F5E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E54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B31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B94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BDB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2B4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4DE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2D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B15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7E5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8AC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9F1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AE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C3B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27D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123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875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CC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EC5DA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773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FED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5D1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8F8D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201ABD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E0B2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8685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20B8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A939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0B00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5006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098E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C57B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79F2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39F0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CB07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EE2BD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BEF5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A66B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C3ED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7E47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F899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DD2C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31F8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5B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BD6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1E6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958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DEE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5D3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5280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73452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FF3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1709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F6F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1AD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330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107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92E2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FBCE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00D6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AE0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0A6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434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CA9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5FE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5E7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66A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878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B38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211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536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87D0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31C23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E566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9615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1582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4FDC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39B1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D65D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DDABD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998D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79B6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56F3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E33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ADAC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831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0D7A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439F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16B1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3805F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1C5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5E38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4A79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2D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E7A0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159A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BA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BA89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1E79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91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CFA4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F5A0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98A3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CE6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61A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149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E9F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1E8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4A3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8EC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D11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EF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D3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2CD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449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90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623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C4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94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00F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C1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7E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F6E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A65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40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A51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8BF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77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841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13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D6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6059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BD09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A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D8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1CC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8E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3C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0C4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D1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C9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921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F3D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B2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5D0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1D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AF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5A7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DE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38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1F2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6D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01CD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1945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A4E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E5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BDF2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03D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1C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7C5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85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08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AC2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12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F3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5A3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38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F6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FA03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6A97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6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D60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831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67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790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638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DC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D6A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9D2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21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779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B1B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AFA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700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A67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18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F4C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B77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0DD5C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90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CC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A5C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14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3B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87A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35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67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CF9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37D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A4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31F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86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DC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AB4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31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EB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92C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CD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76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B19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FF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11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4D4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72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F8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F72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9F3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6F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50A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8B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27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A13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B36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44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111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1B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73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1E20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8A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AC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0FF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FD23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DB13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68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14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BEE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A8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9A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060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8E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82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DED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52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A5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0B4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60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23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D5A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5D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A1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C30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CF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59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BA5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C73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1E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11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914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30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EB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EF5B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1A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D7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3F0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7585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EBB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109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1D8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FB15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FC12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A095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6520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EA8E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9568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6720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15B6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9C6E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F836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505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BEFA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9B3B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3A4071">
      <w:pPr>
        <w:rPr>
          <w:rFonts w:hint="default" w:ascii="Times New Roman" w:hAnsi="Times New Roman" w:cs="Times New Roman"/>
          <w:sz w:val="22"/>
          <w:szCs w:val="22"/>
        </w:rPr>
      </w:pPr>
    </w:p>
    <w:p w14:paraId="0380C49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12A3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GDF-15 Elisa Kit</w:t>
      </w:r>
    </w:p>
    <w:p w14:paraId="4CDDB5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04872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81598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DC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60D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726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A99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F33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138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AE1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A4A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293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82F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2E8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4451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DBDA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F7F9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B05F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AEE2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1E2F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25B6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A275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A457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7E35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2229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F407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BD64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CE3B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Growth Differentiation Factor 15 (GDF-15), also called Macrophage Inhibitory Cytokine 1 (MIC-1). Expression of MIC-1 mRNA in monocytoid cells is up-regulated by a variety of stimuli associated with activation, including interleukin 1β, tumor necrosis factor α (TNF-α), interleukin 2, and macrophage colony-stimulating factor but not interferon γ, or lipopolysaccharide (LPS). It is highly expressed in cardiomyocytes, adipocytes, macrophages, endothelial cells, and vascular smooth muscle cells in normal and pathological condition. GDF-15 increases during tissue injury and inflammatory states and is associated with cardiometabolic risk. Increased GDF-15 levels are associated with cardiovascular diseases such as hypertrophy, heart failure, atherosclerosis, endothelial dysfunction, obesity, insulin resistance, diabetes, and chronic kidney diseases in diabetes. Increased GDF-15 level is linked with the progression and prognosis of the disease condition.</w:t>
      </w:r>
    </w:p>
    <w:p w14:paraId="1A81ED2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FD5946">
      <w:pPr>
        <w:rPr>
          <w:rFonts w:hint="default" w:ascii="Times New Roman" w:hAnsi="Times New Roman" w:eastAsia="宋体" w:cs="Times New Roman"/>
          <w:b/>
          <w:bCs/>
          <w:color w:val="000000"/>
          <w:kern w:val="0"/>
          <w:sz w:val="24"/>
          <w:szCs w:val="24"/>
          <w:lang w:val="en-US" w:eastAsia="zh-CN" w:bidi="ar"/>
        </w:rPr>
      </w:pPr>
    </w:p>
    <w:p w14:paraId="0F0E81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370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FA8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58C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D58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50F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8E4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39F474">
      <w:pPr>
        <w:rPr>
          <w:rFonts w:hint="default" w:ascii="Times New Roman" w:hAnsi="Times New Roman" w:cs="Times New Roman"/>
          <w:b/>
          <w:bCs/>
          <w:sz w:val="28"/>
          <w:szCs w:val="28"/>
        </w:rPr>
      </w:pPr>
    </w:p>
    <w:p w14:paraId="5AE5C4AC">
      <w:pPr>
        <w:rPr>
          <w:rFonts w:hint="default" w:ascii="Times New Roman" w:hAnsi="Times New Roman" w:cs="Times New Roman"/>
          <w:b/>
          <w:bCs/>
          <w:sz w:val="28"/>
          <w:szCs w:val="28"/>
        </w:rPr>
      </w:pPr>
    </w:p>
    <w:p w14:paraId="30BF792C">
      <w:pPr>
        <w:rPr>
          <w:rFonts w:hint="default" w:ascii="Times New Roman" w:hAnsi="Times New Roman" w:cs="Times New Roman"/>
          <w:b/>
          <w:bCs/>
          <w:sz w:val="28"/>
          <w:szCs w:val="28"/>
        </w:rPr>
      </w:pPr>
    </w:p>
    <w:p w14:paraId="31FD4FAD">
      <w:pPr>
        <w:rPr>
          <w:rFonts w:hint="default" w:ascii="Times New Roman" w:hAnsi="Times New Roman" w:cs="Times New Roman"/>
          <w:b/>
          <w:bCs/>
          <w:sz w:val="28"/>
          <w:szCs w:val="28"/>
        </w:rPr>
      </w:pPr>
    </w:p>
    <w:p w14:paraId="489362B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F92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D5D8A7C">
      <w:pPr>
        <w:rPr>
          <w:rFonts w:hint="default" w:ascii="Times New Roman" w:hAnsi="Times New Roman" w:cs="Times New Roman"/>
          <w:b/>
          <w:bCs/>
          <w:sz w:val="28"/>
          <w:szCs w:val="28"/>
        </w:rPr>
      </w:pPr>
      <w:bookmarkStart w:id="0" w:name="_GoBack"/>
      <w:bookmarkEnd w:id="0"/>
    </w:p>
    <w:p w14:paraId="7AA41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92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00E8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8A6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B09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4EA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7D4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39A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6E8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76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F4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099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2BF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C5D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4E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03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603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E4F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A5F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4E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5D5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5A9F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DD3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5C0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83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508A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A6E1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F81F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A49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BC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4CE6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CBC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524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545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2B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3581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FF28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131B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0E9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9C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C86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52B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7D4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921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499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3A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554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19A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5CE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62A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62B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55D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2AE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3CF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47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DFE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8FD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67A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1A5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5E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6CD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E31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AEF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626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D23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C9F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96C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D0C4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BFE2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26A4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9486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DE4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0D84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E170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7432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CB06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D98A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D4D3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CFEC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0E2D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F39F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A9F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1079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C60B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D55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056C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932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47F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8D7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9E0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192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975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809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521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283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310A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3DF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CB5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CDB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7E3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88E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442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F6C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F87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8DAB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2C9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B918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F9F5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B01E3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92F4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972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F3F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4C92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912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0FE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FC9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C33F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C0A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EFB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E94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E06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704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C74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065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F12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48C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706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AA2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72B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E8D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8F52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FB57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7CE6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0ABD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505C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E8A19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8618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2D137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289E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404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EE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08B7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93C7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8AF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76B1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CDA4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88D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F472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BB6E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A1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952C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958B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37A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C5E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8A6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2BE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3A1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9C3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07B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FFC4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301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7831C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C8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514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7ACE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3C5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955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1FD2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378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542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E5A8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B90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93A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CD71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302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21F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D475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765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ECC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4297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F0A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4F7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22EE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2A1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474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C8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A32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86A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CA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BE4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D85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AA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C83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D49E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AA8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D5E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481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CF5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DA3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B6D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A8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026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85EC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A9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537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929D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C16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919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7E9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C3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D07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BF7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A5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C85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E88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1C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520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398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5C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4E2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1D2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25E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D3A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B7E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213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50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2F9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660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D9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3F4F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FA8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5B4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E1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87B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80F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C3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5AD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6FB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D5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ED6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54A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379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A4F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7CB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1CE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1B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4C9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0D1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AB9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01D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945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354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E55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3FAD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0C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0D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8D2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27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316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CFE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5E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78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3A1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FF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C9D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C14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55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233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5FA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12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85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1A1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1A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2F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CA3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24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65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CA3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A6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374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32D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EA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D0E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09B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F9E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9E2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7F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638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B71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DC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8CC5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5D5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919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ECA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033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C6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086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CAC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64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2C4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857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1B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F56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9D8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5A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2F50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30A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EAD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1F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03F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84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D5D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620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013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7E4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07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185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D8B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99A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236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3D1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D95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114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B572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1A58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189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1F9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DB0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7FB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40A47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C08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22F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13C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8F67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AB8E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AB8E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42A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164A7C">
    <w:pPr>
      <w:pStyle w:val="6"/>
      <w:jc w:val="both"/>
    </w:pPr>
  </w:p>
  <w:p w14:paraId="3874EC2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EDA1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B6B8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182CF5"/>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7D43DB"/>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11297</Words>
  <Characters>31906</Characters>
  <Lines>251</Lines>
  <Paragraphs>70</Paragraphs>
  <TotalTime>0</TotalTime>
  <ScaleCrop>false</ScaleCrop>
  <LinksUpToDate>false</LinksUpToDate>
  <CharactersWithSpaces>36251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2026-08-18T07:11:25Z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