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06F91B">
      <w:pPr>
        <w:pStyle w:val="2"/>
        <w:bidi w:val="0"/>
        <w:jc w:val="center"/>
        <w:rPr>
          <w:rFonts w:hint="default" w:ascii="Times New Roman" w:hAnsi="Times New Roman" w:cs="Times New Roman"/>
          <w:b/>
          <w:bCs w:val="0"/>
          <w:sz w:val="36"/>
          <w:szCs w:val="36"/>
        </w:rPr>
      </w:pPr>
      <w:r>
        <w:rPr>
          <w:rFonts w:hint="eastAsia"/>
          <w:b/>
          <w:bCs/>
          <w:sz w:val="36"/>
          <w:szCs w:val="36"/>
        </w:rPr>
        <w:t>Canine DCR3/TNFRSF6B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B4C4A0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4A71A12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5DC9E04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FEFC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656606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6EBE00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28E1C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48AE5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63E44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7B1A5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550B5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F389E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8E0F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0C701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A3FC1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A7D62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8CE9F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C82B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EAD3D9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8DF95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DF04E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86AF44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CDBC8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D514F6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213D4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B384F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538C8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820E1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诱饵受体3（Dcr3），也称为肿瘤坏死因子受体超家族成员6B（TNFRSF6B）、TR6和M68，是肿瘤坏死因子受体超家族的可溶性蛋白，可抑制Fas配体诱导的下垂。该基因属于肿瘤坏死因子受体超家族。它作为诱饵受体，与死亡受体竞争配体结合。据推测，编码的蛋白质在抑制FasL和光介导的细胞死亡和T细胞活化以及通过TL1A中和诱导血管生成中起调节作用。该基因在各种肿瘤（如胃肠道肿瘤）中过度表达，与其他潜在的肿瘤相关基因一起位于20号染色体上一个基因丰富的簇中。</w:t>
      </w:r>
    </w:p>
    <w:p w14:paraId="0397E9D4">
      <w:pPr>
        <w:ind w:firstLine="441" w:firstLineChars="0"/>
        <w:rPr>
          <w:rFonts w:hint="default" w:ascii="Times New Roman" w:hAnsi="Times New Roman" w:cs="Times New Roman"/>
        </w:rPr>
      </w:pPr>
    </w:p>
    <w:p w14:paraId="27408A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A4E79F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FA365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87C22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EBA9CD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86FF1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11C839F">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A02419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26C101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DEB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DA81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BA9FD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614B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AF034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4EADB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A8DD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EE60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EB8D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834F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E2AB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52038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9F9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AEA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FC3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3E28E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7571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732CC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52CA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AC52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C6454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41830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631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FCC74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0C1B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2240F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19B0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7D33C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3D2E2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C8A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8058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7311A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0537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3A72C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60A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CD99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F2B09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96E3B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5A70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73DB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B1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63D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9583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1235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B62E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D88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3EAF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22B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0729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9005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763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4F8C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B1E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4827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855D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DA3F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B4D9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ED2E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E51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FB4B8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8D6B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BA746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613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C148B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ED6FB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61E83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8B2C3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342616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959861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890C41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9BE852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7467E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C51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AFF46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D75ACB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BE58AA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CC49E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75BE8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EBE57F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A5D9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0C9CF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47B1F8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CEE677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AB5876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FAFCC7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EC9C66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33F5A1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2708E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64BD3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873F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93B75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4F425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8B9E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C297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52D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B5F3E3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3A1A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0ED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35B9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83C47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7501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E5CC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9CC17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FF3E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90AFCE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B20D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D11D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D162A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AC692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B8F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62D8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FBAC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49306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05B5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D937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0D06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195A9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EF769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6231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AF35A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BCE90A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4674F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E2599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7741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AAE2C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54D0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D7B0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AA2F8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5B4EF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0EFBF0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8BD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B75EF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3B6961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DA25C5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69784A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F81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1E74C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BAF4E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4E69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78525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D02B2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D5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C1D1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861A9B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3D8F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4F16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40232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B99CB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8803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6879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60A95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EDBA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5A3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D4671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058C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022E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D1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2C9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E7B3E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4440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89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9BF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3D1A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82E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F412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73C1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7237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FA9E4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C5A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60F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AA445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7E8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96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E48A0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FFEE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231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98A3B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3A4E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F7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EE6C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AD86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D70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B890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3CEC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D01E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95C1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983B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FE23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3B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51103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A8D0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BAC2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7014F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42F3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F32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00E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A2F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929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74E4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E96A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AD27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08A6F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113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427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CD0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63E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39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5C744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528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F7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45FC96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496FC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6E3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AAD1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3CFA3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958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43CB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5DD13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7BA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FCF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0DF6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8786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743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07DA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4A79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479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DEC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B4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1CA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A84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A9FD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58D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6761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EB6DA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1DE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F82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D8C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786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0C2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808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08F3D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A4E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2582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ABD9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D0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F9C5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9A3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A2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0EF9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AE9EA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77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447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D6C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CC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99A6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C04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98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4C41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72C9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820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A20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2B4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CE8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DDC2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95A1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86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AE8E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E4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DAB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E5BC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1D5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02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E88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C29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8CA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14D3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2DCF7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0898D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5A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94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B7EA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60C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EF5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9B57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765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76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8BAC2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7E5C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21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8879E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9CE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69E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4454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B43E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0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0C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BAEB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81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47B5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9051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6CBE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F7F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21B93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74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209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FC7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5F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648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41E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161A7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0726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290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1C20B5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61F0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E063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616B2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857E8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3ECBC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ECDD2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7DBE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FD050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E6648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81E03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48B9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7DC77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F2692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EC0EF82">
      <w:pPr>
        <w:rPr>
          <w:rFonts w:hint="default" w:ascii="Times New Roman" w:hAnsi="Times New Roman" w:cs="Times New Roman"/>
          <w:sz w:val="22"/>
          <w:szCs w:val="22"/>
        </w:rPr>
      </w:pPr>
    </w:p>
    <w:p w14:paraId="18CC32F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449DE0">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DCR3/TNFRSF6B Elisa Kit</w:t>
      </w:r>
    </w:p>
    <w:p w14:paraId="0115267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0842134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725A7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423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9FF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5B417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2794D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0894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E9AEA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9872D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84F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C4FD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F08B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EF105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645B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17D948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41A3A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4F9B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199A82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0A5DB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1E621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88E05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7E050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AE753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690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BAD6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E09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4E5ED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Decoy receptor 3 (Dcr3), also known as tumor necrosis factor receptor superfamily member 6B (TNFRSF6B), TR6 and M68, is a soluble protein of the tumor necrosis factor receptor superfamily which inhibits Fas ligand-inducedapoptosis. This gene belongs to the tumor necrosis factor receptor superfamily. It acts as a decoy receptor that competes with death receptors for ligand binding. The encoded protein is postulated to play a regulatory role in suppressing FasL- and LIGHT-mediated cell death and T cell activation as well as to induce angiogenesis via neutralization of TL1A. Overexpression of this gene has been noted in various tumors e.g. gastrointestinal tract tumors, and it is located in a gene-rich cluster on chromosome 20, with other potentially tumor-related genes.</w:t>
      </w:r>
    </w:p>
    <w:p w14:paraId="55F6EC2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9E902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D51E3F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562BF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1DC3C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4B1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62ED1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A7B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570B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39ED31B">
      <w:pPr>
        <w:rPr>
          <w:rFonts w:hint="default" w:ascii="Times New Roman" w:hAnsi="Times New Roman" w:cs="Times New Roman"/>
          <w:b/>
          <w:bCs/>
          <w:sz w:val="28"/>
          <w:szCs w:val="28"/>
        </w:rPr>
      </w:pPr>
    </w:p>
    <w:p w14:paraId="4EA862F2">
      <w:pPr>
        <w:rPr>
          <w:rFonts w:hint="default" w:ascii="Times New Roman" w:hAnsi="Times New Roman" w:cs="Times New Roman"/>
          <w:b/>
          <w:bCs/>
          <w:sz w:val="28"/>
          <w:szCs w:val="28"/>
        </w:rPr>
      </w:pPr>
    </w:p>
    <w:p w14:paraId="62B534E1">
      <w:pPr>
        <w:rPr>
          <w:rFonts w:hint="default" w:ascii="Times New Roman" w:hAnsi="Times New Roman" w:cs="Times New Roman"/>
          <w:b/>
          <w:bCs/>
          <w:sz w:val="28"/>
          <w:szCs w:val="28"/>
        </w:rPr>
      </w:pPr>
    </w:p>
    <w:p w14:paraId="2F00BB45">
      <w:pPr>
        <w:rPr>
          <w:rFonts w:hint="default" w:ascii="Times New Roman" w:hAnsi="Times New Roman" w:cs="Times New Roman"/>
          <w:b/>
          <w:bCs/>
          <w:sz w:val="28"/>
          <w:szCs w:val="28"/>
        </w:rPr>
      </w:pPr>
    </w:p>
    <w:p w14:paraId="39AB7C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BACB0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2480D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5D4D2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6ECF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ED59C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084DB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9B8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21EC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0D0E7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3DB9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A5B6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9AD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5C4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F726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DEBA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1181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873D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09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82AF0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1230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2ED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423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7C7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71DB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175F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4B3E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3B5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428E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8EF72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CA29D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1765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8525A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76D1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95EBB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FB58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3A8E0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605B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8A8ED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46BB6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BF65A6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0AAF9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0B4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95B3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CD73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3A14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81E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ABD5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19B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55A5A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5E1E3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79BE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F8F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D417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FFC9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CEA5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2533A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A4FD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8ED7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A932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1034C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61711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1AE2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A17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3653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5A7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7B3E8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2B9E1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67124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F662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4714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3DDCC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B4DF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C7442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963BB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B26CC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94BB6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8009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8F1134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C71F08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807832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6992EA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A21020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C42C37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6B7CA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2AF06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C175B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542C37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CB4F1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569E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F1C0E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0423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0ED1D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33D70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5BF3F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F1620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F5703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DCBB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28401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5ADA9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0AB4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3AD1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9091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E8E7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4C5F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D1A7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3445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D9DDC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AA3EA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6DC9DC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16ED0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C368D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00B71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B6A7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82889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70897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CC431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18A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B6C9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714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606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199C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147999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8998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7B6E5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8A1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5385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53C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D49CB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5E123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755FD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D8DC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01636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CAA836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2FDA5A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FE17D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58F4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72E66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3803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85E43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0A1B1E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47A28B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DCAD5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C3D8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D2A5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22A4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D4A6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37A7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9E4181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80BA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4EF9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79FEF59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B7CF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AD3AC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8D37C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CC1E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2618D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25552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7F3F0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C63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E8CD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5A8B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BB57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CE261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A3360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F76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B1B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6342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202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3BC7F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6EE73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E94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84AD6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7775A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EB9C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3D55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620861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6905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E837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7E2D1C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53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59E5F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85330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1B3C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F095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5FFE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AD8B20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8D01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1B2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D56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350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5C9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ADAC7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5A6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83E6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6EB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2DBC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48BB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ABD5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9C5F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6B9C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E3FC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C18B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2586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67C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3E5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EDFB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D580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AE9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2641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B63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C5C5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ADB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FE82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E0B6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4CB8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0D3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91EC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E74C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4CEC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06C56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F574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25249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640A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9D2A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072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E9E8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7C93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E31C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41B6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644B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3E61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0F26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FB269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45B8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98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8D0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9A12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73E3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3A0E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84D8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6E34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0A06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0E234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CEBB2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053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31947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DB4AD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5BD7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C918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2112D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FFE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A7D2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2365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FCFB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6DE1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E5B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E370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22D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600E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599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27D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F373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9DB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1A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B3D8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CDB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E73E3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9669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5F6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0CC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7113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EC8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669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A4BC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C194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2074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566D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00D2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3CE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A1AC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9197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F0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AF2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D2E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43A5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E694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FC79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3F1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A29C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A623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9A81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F2C1F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D8D90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E01DE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D3B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60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EE44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C213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6983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267C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4D36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711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C568F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1FB6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19D9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9D885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5B8B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DDABF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A41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9ECE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04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8E9D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831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CE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5544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E8A9E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C36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CBF3E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D704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1BCB2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9616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926CB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708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5C8F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0483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0FB60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7F104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53C8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CD53A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4F4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DB4F4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and the factory results or the increase in the difference between batches of kits.</w:t>
      </w:r>
    </w:p>
    <w:p w14:paraId="6D1C6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3B9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B1150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7871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F63C4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5830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F5830C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79CD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852E2C">
    <w:pPr>
      <w:pStyle w:val="6"/>
      <w:jc w:val="both"/>
    </w:pPr>
  </w:p>
  <w:p w14:paraId="5B2953F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4C3A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5AB49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1E76BD1"/>
    <w:rsid w:val="3279085F"/>
    <w:rsid w:val="32BF0681"/>
    <w:rsid w:val="34A9783B"/>
    <w:rsid w:val="379B18CA"/>
    <w:rsid w:val="3ACF6C5F"/>
    <w:rsid w:val="3B9D0FAA"/>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9415</Words>
  <Characters>21577</Characters>
  <Lines>251</Lines>
  <Paragraphs>70</Paragraphs>
  <TotalTime>0</TotalTime>
  <ScaleCrop>false</ScaleCrop>
  <LinksUpToDate>false</LinksUpToDate>
  <CharactersWithSpaces>24214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2026-08-18T07:03:12Z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