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1D26B">
      <w:pPr>
        <w:pStyle w:val="2"/>
        <w:bidi w:val="0"/>
        <w:jc w:val="center"/>
        <w:rPr>
          <w:rFonts w:hint="default" w:ascii="Times New Roman" w:hAnsi="Times New Roman" w:cs="Times New Roman"/>
          <w:b/>
          <w:bCs w:val="0"/>
          <w:sz w:val="36"/>
          <w:szCs w:val="36"/>
        </w:rPr>
      </w:pPr>
      <w:r>
        <w:rPr>
          <w:rFonts w:hint="eastAsia"/>
          <w:b/>
          <w:bCs/>
          <w:sz w:val="36"/>
          <w:szCs w:val="36"/>
        </w:rPr>
        <w:t>Canine IGF-1R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EF7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14BB2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F2073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41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4831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4B8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208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B16E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115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0D16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970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57A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4D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1C5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4AA2A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1663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47C1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E4B4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32EB4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3BCD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C13C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E0E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D3A8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9527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A1A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F6A3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8902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A0D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一型胰岛素样生长因子受体（Type 1 insulin-like growth factor receptor， IGF1R）属于受体酪氨酸激酶家族（receptor tyrosine kinases， RTKs），胰岛素受体亚家族，位于细胞膜上，可以被胰岛素样生长因子（IGF1或IGF2）激活，引起自身酪氨酸激酶结构域的磷酸化并起始胞内信号传导，调控细胞的生长和分化，以及高等生物的生长、发育、衰老等各种生命活动。</w:t>
      </w:r>
    </w:p>
    <w:p w14:paraId="750501AF">
      <w:pPr>
        <w:ind w:firstLine="441" w:firstLineChars="0"/>
        <w:rPr>
          <w:rFonts w:hint="default" w:ascii="Times New Roman" w:hAnsi="Times New Roman" w:cs="Times New Roman"/>
        </w:rPr>
      </w:pPr>
    </w:p>
    <w:p w14:paraId="25789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BF00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4176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3CAC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2507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F1F0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EB74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DF91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858CE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566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1ED1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33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516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9BE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5F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9A7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12D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1F6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D29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95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D7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F87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96D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D0D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72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3D2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ECA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9B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92D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55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BDE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966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E84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CB6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1F4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8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05A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CC0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18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2D4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A6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131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591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FFC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F6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1E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E0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1848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295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A09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C12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D1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510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0056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D6A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113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B96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68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78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CC4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99C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FC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316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D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6EE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D52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65D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38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E6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C7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F67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8B2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EF2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2F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8AE9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BE0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25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CA9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A3CA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9BCC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F5BD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AC23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014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2ED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8961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D31F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6EB2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5E7F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2A11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520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0479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D870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5E7F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7474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B1B9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2AD8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5C6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DD84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485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A0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E75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66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D7A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BBC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C8D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AD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E883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4EF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E8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3F6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051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2F3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1C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F91F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1B25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991E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391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BB6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8C2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05F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53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910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F2B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391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0F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2A8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C2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583D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D9B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D328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330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092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BB8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876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B2BB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F5DD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E4F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B051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59C7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1C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2C47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8BA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EF8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9306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9B0D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886A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32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8F7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3BA3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B0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CFB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BA2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5B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EA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EE7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35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5DE4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443F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E8A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F56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167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438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6F9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627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D50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1F5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E37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F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16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F85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A2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C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06D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AF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99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DBE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C9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56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1D3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34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2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C76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FC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13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AD3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FC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D7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622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5835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7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DF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83B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91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E5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FD8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7F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C4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E4F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EB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32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65A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08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8B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E4B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4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5A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0FD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96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B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F42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72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F9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015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E1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1B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C4D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27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FF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C3C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D1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18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E19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B6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F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851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C9D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C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D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92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B6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7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61C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24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2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16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65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6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4F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D9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A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48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9F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E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E9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F41A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7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6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2F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6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F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84E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66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E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F8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57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4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624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78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F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C0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66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42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B0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14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C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CE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5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2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4F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2D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68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87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51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C3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0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6C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22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E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7B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B6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A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C5C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3B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8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BB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746D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B939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7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21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F2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E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C7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21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F4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16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3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74A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31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7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60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01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B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27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CB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D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6F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C4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3F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3A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A4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8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78C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04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4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5D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F20C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E54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DD9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066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3C3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305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48A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8E4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5D8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E11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0844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BE9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326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3E6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6FC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102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C92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498E81">
      <w:pPr>
        <w:rPr>
          <w:rFonts w:hint="default" w:ascii="Times New Roman" w:hAnsi="Times New Roman" w:cs="Times New Roman"/>
          <w:sz w:val="22"/>
          <w:szCs w:val="22"/>
        </w:rPr>
      </w:pPr>
    </w:p>
    <w:p w14:paraId="5B8500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E8E09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IGF-1R Elisa Kit</w:t>
      </w:r>
    </w:p>
    <w:p w14:paraId="6DA818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C283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3E12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C17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7A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168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3A8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18B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DD1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A57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00C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E3F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DD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29D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BA72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5178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5A5D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D38A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0476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EB8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4E85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A8B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038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0E6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E2C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B218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6FB4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1F5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1 insulin-like growth factor receptor (IGF1R) belongs to receptor tyrosine kinases (RTKs) and insulin receptor subfamily. It is located on the cell membrane and can be activated by insulin-like growth factor (IGF1 or IGF2), It causes the phosphorylation of its own tyrosine kinase domain and initiates intracellular signal transduction, regulates cell growth and differentiation, as well as various life activities such as growth, development and aging of higher organisms.</w:t>
      </w:r>
    </w:p>
    <w:p w14:paraId="5A8053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F38F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9222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CDE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34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22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9EA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E7E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598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F4169C">
      <w:pPr>
        <w:rPr>
          <w:rFonts w:hint="default" w:ascii="Times New Roman" w:hAnsi="Times New Roman" w:cs="Times New Roman"/>
          <w:b/>
          <w:bCs/>
          <w:sz w:val="28"/>
          <w:szCs w:val="28"/>
        </w:rPr>
      </w:pPr>
    </w:p>
    <w:p w14:paraId="55B5E37F">
      <w:pPr>
        <w:rPr>
          <w:rFonts w:hint="default" w:ascii="Times New Roman" w:hAnsi="Times New Roman" w:cs="Times New Roman"/>
          <w:b/>
          <w:bCs/>
          <w:sz w:val="28"/>
          <w:szCs w:val="28"/>
        </w:rPr>
      </w:pPr>
    </w:p>
    <w:p w14:paraId="1CB81FAB">
      <w:pPr>
        <w:rPr>
          <w:rFonts w:hint="default" w:ascii="Times New Roman" w:hAnsi="Times New Roman" w:cs="Times New Roman"/>
          <w:b/>
          <w:bCs/>
          <w:sz w:val="28"/>
          <w:szCs w:val="28"/>
        </w:rPr>
      </w:pPr>
    </w:p>
    <w:p w14:paraId="46ABDA30">
      <w:pPr>
        <w:rPr>
          <w:rFonts w:hint="default" w:ascii="Times New Roman" w:hAnsi="Times New Roman" w:cs="Times New Roman"/>
          <w:b/>
          <w:bCs/>
          <w:sz w:val="28"/>
          <w:szCs w:val="28"/>
        </w:rPr>
      </w:pPr>
    </w:p>
    <w:p w14:paraId="137382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4DC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34F7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00E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BF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FE6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1FA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1F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38A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8B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C03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33D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FC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03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B69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823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17D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23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B3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B15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F0A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DBF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05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C2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332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D29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C7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08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D5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F7F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A1A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FFE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70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21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17A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DA0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F4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57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CC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093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6A6E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457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2F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83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847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5C6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F36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73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66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530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7C8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25D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9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11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558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B67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962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6A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7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3B5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C74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C55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20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85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96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500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DE0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D0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3D6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5A4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C97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53A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508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E36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64B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936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4DA7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76C6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6F5A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7EFB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DD97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B585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3C93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8AEE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675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716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38F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709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762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8E1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501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11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FDB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E8A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E99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8FC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1A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4D9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C60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136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591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E7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4DC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F3D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419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5A0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EDC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E17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831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DB1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E5B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D39C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994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38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097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F46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A94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5B1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FD9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BBE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7C1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B99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A19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68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27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72F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3AA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EA5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278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80A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35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14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8F0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B8B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4206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D72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0051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AEF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B3E4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DDB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B78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F20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9BF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E4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CA4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EB3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E8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283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A481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2A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DC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7B88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F2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7E2E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70E2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A1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6D3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2C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8B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E9D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150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861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E362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949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C77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A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39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69E0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79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FA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573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8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B96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55C8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D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534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A7B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6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2F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0BC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5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D53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930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4A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7F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69C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08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42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6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09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8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A1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B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ECE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B5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A4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79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36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3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B8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D3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5D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2EC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93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A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36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AE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08B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E70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1A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64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07E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1A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2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81B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1D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7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E2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81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9F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C5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B6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86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314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85A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9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05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B87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9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56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3C2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04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D5D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7C6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6D0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6F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942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854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6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E40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C4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CF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3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D8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C79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6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B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49A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F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A5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47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C6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89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5C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2F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30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B4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39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5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88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7F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4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6A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6A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B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70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A8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F7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A21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AE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5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F7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B2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CC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6A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9A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4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FE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2B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ED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92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88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5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6B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84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E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24A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A70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854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F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3B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68F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1F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CDA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72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21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B3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B8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7C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27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F9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4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EC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80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FE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F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0C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D5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8AD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E4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D9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CC3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B7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3C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9B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05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9F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2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FF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A9B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349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C95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75E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F4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C1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B5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59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2B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A1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80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DF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D4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perimental results and the factory results or the increase in the difference between batches of kits.</w:t>
      </w:r>
    </w:p>
    <w:p w14:paraId="7CD4C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B35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F9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561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862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49A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49A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4D1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C3C62B">
    <w:pPr>
      <w:pStyle w:val="6"/>
      <w:jc w:val="both"/>
    </w:pPr>
  </w:p>
  <w:p w14:paraId="25F6E7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4B7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F07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9E7FC8"/>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C06E1B"/>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8994</Words>
  <Characters>19756</Characters>
  <Lines>251</Lines>
  <Paragraphs>70</Paragraphs>
  <TotalTime>0</TotalTime>
  <ScaleCrop>false</ScaleCrop>
  <LinksUpToDate>false</LinksUpToDate>
  <CharactersWithSpaces>22055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