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A55828">
      <w:pPr>
        <w:pStyle w:val="2"/>
        <w:bidi w:val="0"/>
        <w:jc w:val="center"/>
        <w:rPr>
          <w:rFonts w:hint="default" w:ascii="Times New Roman" w:hAnsi="Times New Roman" w:cs="Times New Roman"/>
          <w:b/>
          <w:bCs w:val="0"/>
          <w:sz w:val="36"/>
          <w:szCs w:val="36"/>
        </w:rPr>
      </w:pPr>
      <w:r>
        <w:rPr>
          <w:rFonts w:hint="eastAsia"/>
          <w:b/>
          <w:bCs/>
          <w:sz w:val="36"/>
          <w:szCs w:val="36"/>
        </w:rPr>
        <w:t>Canine PTX2/SAP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A577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5615F9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568C39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3291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E5CD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8C2AB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A1441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F1A57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CE580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D110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9DC5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48B3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36C0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9EAE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11DCCD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ABC1A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9DCDB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D7063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3B017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7DBC4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2CDE6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ACA6A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4225D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7EAFE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3C4AF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4CD8B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7799D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8D6FA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淀粉样P组分，血清（SAP），也称为PTX2或APCS，是淀粉样P组分（AP）的相同血清形式，一种25kDa五聚体蛋白，首次被鉴定为体内病理沉积物的五角体成分，称为“淀粉样蛋白”。它属于pentraxins家族，以钙依赖性配体结合和独特的扁平β-胶状结构为特征，类似于豆类凝集素。该基因定位于1q23.2。编码蛋白与病理性淀粉样交叉β折叠蛋白的结合表明其可能作为伴侣发挥作用。这种蛋白质也被认为可以控制染色质的降解。已经证明，该蛋白在早期阶段与凋亡细胞结合，这增加了它参与体内处理凋亡细胞的可能性。</w:t>
      </w:r>
    </w:p>
    <w:p w14:paraId="27E50280">
      <w:pPr>
        <w:ind w:firstLine="441" w:firstLineChars="0"/>
        <w:rPr>
          <w:rFonts w:hint="default" w:ascii="Times New Roman" w:hAnsi="Times New Roman" w:cs="Times New Roman"/>
        </w:rPr>
      </w:pPr>
    </w:p>
    <w:p w14:paraId="00A264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6629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E88BF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8A43B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7AA35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744039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2DD5B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48601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67B2C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B0E9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91C73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F4B18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E3A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E4C8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19CF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16DA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529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C729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ECC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296AB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52A8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7EA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93EF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311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B9B8F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F60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9FF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D5C9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D6AF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6898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8927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4C7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57D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173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461E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8217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DE65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FB70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68E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42E4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DE86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01C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537A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F1E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B66D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8A6C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45D6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A025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EA5C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C1B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2C57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5E5B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604F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A61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F05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A12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A3E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C17E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31E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DD48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42D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E12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EF4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F56F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857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822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F5A1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F24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976E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316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642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A0F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F5730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EF0D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AD98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427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32830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690C5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10929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39358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64DDC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61D3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8E0A2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A9D885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96BC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C9D8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E12C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7F5A9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8085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4D233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793CC3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E91289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44711B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ACD4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FB289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F065E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D033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B33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9C0D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822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3B4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E1BD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AB03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35A6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BFFB2D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5D70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9871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3A5B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C290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BDE2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758F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F931E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45443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29B77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29A8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3F9E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439E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300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03F1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E4BA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03B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3470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796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E367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949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A6CF2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80B56C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21B34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3190A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84AA0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297BE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55875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9E088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91847C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8936A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AB0E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FE31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6D7A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63D75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4839F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C7F6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B4026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DBC5A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2DC946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2D3D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92492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28DEB1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53E7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FD6B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58FF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9CDE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1848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AA2FC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1FA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CA6B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1408C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99A9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6D3E5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122A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C5B56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EB43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46BBC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1980D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E727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345EB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246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04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593F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E3C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46F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1E7B0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60D3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251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9338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44F5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DC5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13958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01BE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53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B5B32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3B00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B9F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1D46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3E87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5B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DBE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FFB5C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BCB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0B6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5A64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CDC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A4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9EB86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5D77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BA8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4F4D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533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A0A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E01C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737A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34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206D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1E33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81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5EE5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CFEE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C7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9C5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89F6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306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898B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6B1B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7DD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8134C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AD26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41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B6E66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0AEB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D1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F1243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DE6C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7B0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979EF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C45D3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75C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FB6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E31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09B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041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1349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19EB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B89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3499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771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BDA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C7EE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E1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928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9953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A705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EB7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70D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769F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923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AA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3A2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75B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3D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4542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E8A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A7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20C3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A02C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50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F03E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7603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91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D429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EB33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F0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70C7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4AB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EA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19B4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67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4E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A44C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A0F1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5C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4C2A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8DEF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5E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A10F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D7E8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F4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8C83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42D4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25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15AB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124B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E0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E89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3FC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C5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9451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90D42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97D23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83A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E3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15A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850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8A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16E9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4C97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92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8B10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973A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A2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5C9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F3AC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05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E4A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9E66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56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5430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585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B8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D7FD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054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00C9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27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C389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BA6E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88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7448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D7A0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49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3600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DA6EA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1ED12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51D32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3E5F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AB8FD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6C931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470A8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68670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DA52A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14DCB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FB5B4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116CC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51B5D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0DE7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4FC9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5CA72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63715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352042B">
      <w:pPr>
        <w:rPr>
          <w:rFonts w:hint="default" w:ascii="Times New Roman" w:hAnsi="Times New Roman" w:cs="Times New Roman"/>
          <w:sz w:val="22"/>
          <w:szCs w:val="22"/>
        </w:rPr>
      </w:pPr>
    </w:p>
    <w:p w14:paraId="336625A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B19470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PTX2/SAP Elisa Kit</w:t>
      </w:r>
    </w:p>
    <w:p w14:paraId="13C811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204813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01032B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0F69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F87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67C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08B2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38EA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45ED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C24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FFDB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7B0A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6318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6B4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FAC9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4F6C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276E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5DC5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7409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A269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DA45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72412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E5928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0E71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699D8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AE4F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AB81C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6EB6A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Amyloid P component, serum (SAP), also known as PTX2 or APCS, is the identical serum form of amyloid P component (AP), a 25kDa pentameric protein first identified as the pentagonal constituent of in vivo pathological deposits called "amyloid". It belongs to the pentraxins family, characterised by calcium dependent ligand binding and distinctive flattened β-jellyroll structure similar to that of the legume lectins. This gene is mapped to 1q23.2. The binding of the encoded protein to proteins in the pathological amyloid cross-beta fold suggests its possible role as a chaperone. This protein is also thought to control the degradation of chromatin. It has been demonstrated that this protein binds to apoptotic cells at an early stage, which raises the possibility that it is involved in dealing with apoptotic cells in vivo.</w:t>
      </w:r>
    </w:p>
    <w:p w14:paraId="7072819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429AC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DE6B8E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B79F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DB60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882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36F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DADB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2490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BE44C3C">
      <w:pPr>
        <w:rPr>
          <w:rFonts w:hint="default" w:ascii="Times New Roman" w:hAnsi="Times New Roman" w:cs="Times New Roman"/>
          <w:b/>
          <w:bCs/>
          <w:sz w:val="28"/>
          <w:szCs w:val="28"/>
        </w:rPr>
      </w:pPr>
    </w:p>
    <w:p w14:paraId="022768A0">
      <w:pPr>
        <w:rPr>
          <w:rFonts w:hint="default" w:ascii="Times New Roman" w:hAnsi="Times New Roman" w:cs="Times New Roman"/>
          <w:b/>
          <w:bCs/>
          <w:sz w:val="28"/>
          <w:szCs w:val="28"/>
        </w:rPr>
      </w:pPr>
    </w:p>
    <w:p w14:paraId="060C869B">
      <w:pPr>
        <w:rPr>
          <w:rFonts w:hint="default" w:ascii="Times New Roman" w:hAnsi="Times New Roman" w:cs="Times New Roman"/>
          <w:b/>
          <w:bCs/>
          <w:sz w:val="28"/>
          <w:szCs w:val="28"/>
        </w:rPr>
      </w:pPr>
    </w:p>
    <w:p w14:paraId="69A3EEC8">
      <w:pPr>
        <w:rPr>
          <w:rFonts w:hint="default" w:ascii="Times New Roman" w:hAnsi="Times New Roman" w:cs="Times New Roman"/>
          <w:b/>
          <w:bCs/>
          <w:sz w:val="28"/>
          <w:szCs w:val="28"/>
        </w:rPr>
      </w:pPr>
    </w:p>
    <w:p w14:paraId="6C26601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DE1E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9CB5A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14F9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CCFE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A3BD6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7CBC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D463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8E44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FA5F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C5DB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4E31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FA1E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A99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9C81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F36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91B6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BE40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047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62F7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CE46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D118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D237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B2D6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D75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59D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741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ED1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135F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2DE38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6AF19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9DB3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A1E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054A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26C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ADE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30C5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8D7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A6DD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C1759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3FEB6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82F0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42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6EA7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2F56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FFA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1D32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120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D28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9BA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AD0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FFE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675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BD7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F737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9AEC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006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7D2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4BC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2A5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72DC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7F8A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4072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C43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2E7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A5B3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7D97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CF5A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FAAD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447A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CCC2F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7685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E298C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B75C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3B81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DE0A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BBE0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F445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0E05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A0CF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7B6AF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9D99E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9A1A1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16A44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375D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1292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F821F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65AB4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A6D0B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90DB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3F17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F01D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3A0B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3DA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FA3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B1B9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2365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90522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A3D30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2E29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D3AC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7156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2D6B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D6B1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E039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A5BAC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B62A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3E843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4A42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82EAC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0EA6A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E2076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E2C3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B75D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AE19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426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F50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0F78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A692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2F63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104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736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6909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34F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4CD0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D83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F790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2A2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3C7B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87DF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6F7C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9E6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1080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EE464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AD4EE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8F6B7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9D590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19DD5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1B12F5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5A928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B02C8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AC93B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71F1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FADC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31BE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E096E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BF8C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C97B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5FE3A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E43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0655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093EC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30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D71E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8462E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32C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0B5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5877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CB9D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220D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8A89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9A5F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AE0BF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F619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39AF4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287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D07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E163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CB9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603C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64461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709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7844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E1432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35E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DA24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65D3C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16B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A5A4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57895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A46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E336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42785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932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5245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DBBB0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F9A3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0453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F02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5BE4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8E6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E05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200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3A72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8F50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81A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A1A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E59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125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A14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7B0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A3D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B53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C384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C10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4C10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516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37A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43FE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69D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961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9266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B4A4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748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71DD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343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2E7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BD2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A350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2F7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0A8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CB4E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F44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BAD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C769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D2B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B9C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493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C70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F61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6F1D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850E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F4F1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4A4A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8C5F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6C53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ADC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3E72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101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28F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97AA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966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22B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FED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683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7F0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35C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0EE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F3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39C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4C1D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0375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EA1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7DED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9323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CD8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2443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589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6B6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68D1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5EC9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674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F61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87F3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D81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773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2513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5D6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BC04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CCE7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8BD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2A29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714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B92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DFE4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0CAB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000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223D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E022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847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67D2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675B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922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3B0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720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A63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8F5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9C31F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98702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6DE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6A32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8198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F6ED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3C04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864C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D2CD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BE3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EEB2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857B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72C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5FAD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9B0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111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CE69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BD6A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FB7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5A2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BB10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C984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084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E97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709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52D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8F78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748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CAE1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E33C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187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93B7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1E5C3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548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4F0C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1E0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8B9B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D506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3A98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0678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F53D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B5B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BDAC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9B6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97CB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4C4B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0E6E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7C7B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6597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612F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F3585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F3585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64D4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48814EB">
    <w:pPr>
      <w:pStyle w:val="6"/>
      <w:jc w:val="both"/>
    </w:pPr>
  </w:p>
  <w:p w14:paraId="2583FDC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8026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D64D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8166AC"/>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4C35435"/>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11120</Words>
  <Characters>30942</Characters>
  <Lines>251</Lines>
  <Paragraphs>70</Paragraphs>
  <TotalTime>0</TotalTime>
  <ScaleCrop>false</ScaleCrop>
  <LinksUpToDate>false</LinksUpToDate>
  <CharactersWithSpaces>35147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2026-08-18T06:07:29Z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