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1F51C6">
      <w:pPr>
        <w:pStyle w:val="2"/>
        <w:bidi w:val="0"/>
        <w:jc w:val="center"/>
        <w:rPr>
          <w:rFonts w:hint="default" w:ascii="Times New Roman" w:hAnsi="Times New Roman" w:cs="Times New Roman"/>
          <w:b/>
          <w:bCs w:val="0"/>
          <w:sz w:val="36"/>
          <w:szCs w:val="36"/>
        </w:rPr>
      </w:pPr>
      <w:r>
        <w:rPr>
          <w:rFonts w:hint="eastAsia"/>
          <w:b/>
          <w:bCs/>
          <w:sz w:val="36"/>
          <w:szCs w:val="36"/>
        </w:rPr>
        <w:t>Canine Serum Amyloid P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6CB67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140FBCA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6DC075A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A467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18A3D5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987D48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67C800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97991D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3DF4F9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AED98C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F6CBED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401A71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4885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C1A47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F7D9AC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16F00EF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787635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A17D1E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4FBDA8B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226392D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71C0EFB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92A531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B417C2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F565A6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722B05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E317BA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E82762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FA1831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淀粉样P组分，血清（SAP），也称为PTX2或APCS，是淀粉样P组分（AP）的相同血清形式，一种25kDa五聚体蛋白，首次被鉴定为体内病理沉积物的五角体成分，称为“淀粉样蛋白”。它属于pentraxins家族，以钙依赖性配体结合和独特的扁平β-胶状结构为特征，类似于豆类凝集素。该基因定位于1q23.2。编码蛋白与病理性淀粉样交叉β折叠蛋白的结合表明其可能作为伴侣发挥作用。这种蛋白质也被认为可以控制染色质的降解。已经证明，该蛋白在早期阶段与凋亡细胞结合，这增加了它参与体内处理凋亡细胞的可能性。</w:t>
      </w:r>
    </w:p>
    <w:p w14:paraId="20EDA3EE">
      <w:pPr>
        <w:ind w:firstLine="441" w:firstLineChars="0"/>
        <w:rPr>
          <w:rFonts w:hint="default" w:ascii="Times New Roman" w:hAnsi="Times New Roman" w:cs="Times New Roman"/>
        </w:rPr>
      </w:pPr>
    </w:p>
    <w:p w14:paraId="535621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B533EB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2CB981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16108E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317C56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8AB81C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6846A77">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D6E70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AF97B5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164D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BEFD4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1530E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D2FE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E3250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B932A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3FF3F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5D53D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6B14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E3C20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58855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FC266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777DB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8AF6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DBA8F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E8731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8869F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51021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D9AE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8520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25731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89BD0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5E8F6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D33EC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632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8D106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66DC1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1CF3D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4AFCB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D0A1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C92E6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3F45E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AD0A8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D19B1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D911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916DD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4651E2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DECBA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20B0C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C250E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85A0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D6CFB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C0B26A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EE57A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59402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CE102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8B79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F82F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6F4D5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D68B0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A10AA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3F2D2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9BE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19470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9BE0A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0A3F0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A186A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1D33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42A5D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50A29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35839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999D3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04DC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FCC5C0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933CF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75E2A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34512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21DB8D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21233DD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D9937E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3CFD5C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5A789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BCC05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531601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DD80B1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B425AF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BB82C6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2F7B7E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60E0FB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36711C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9E849F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E02C49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F0C659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A3A688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684DA4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ECB8F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B5CA95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7F881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2846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B4C96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C4D66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034F2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56A45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82EA1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6BD2D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E6A9D6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99B9B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30FBF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AB7C9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BF106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13321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72760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5F8040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3D7D49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53DC83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3275A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D77F6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E4D4A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C89FB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7C06E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AEA2B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5BE97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241B7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B3BF4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1CBAE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CAB74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0DFF98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938453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191AA8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CC451E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58EA66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832467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739895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035643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2DD8A1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959B95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7B728F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E71136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3990C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BD6C22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F1032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BA4F7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42A4A5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563E4C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75563D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B5A5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F5A460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D4EDB8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DCA7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ADC295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E0FA28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3E83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113234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907BDD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6770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F48E25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0F5740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18E99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E1098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C7B11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3D391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30B06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63A82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97620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BAFE3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7A342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599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97B0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291B6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158D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7306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EB6A2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86C2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C23C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38524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C6F8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4F80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A75A5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800B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6931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35FB6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E4CD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0B44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D0B5A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1A77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B729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437C3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5E04C2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94F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650D5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B979A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5CB2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3BD7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43F49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EE9D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AF83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F7550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7F72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3FD6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0CC4C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753F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A5D8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8A6D8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CE7F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00BE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6AB8E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0246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7F27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C34E6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88F8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6C1B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7F165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9A04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4050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0D3C8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4EFD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6B7A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8524B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F6BA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CDB8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007A5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7105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22A7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BAD2F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B2B91A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C23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F02C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AC9C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6D4B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A30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9C30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CD7F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F070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940CA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9618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2AF3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4AEE3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9F98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1F0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A8E9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B56F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627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F15C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1521FB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F1E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D194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481DB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9DE9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0FE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F40D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A498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8C2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228E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F88B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CB5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3248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3CB6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5C6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F616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5136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C26F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C2936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6CD8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113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7D4E6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B990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DE4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97C0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11C2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3D2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AAA2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712C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2DB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A51A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6035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AED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2C0B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1BFB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397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3A90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A886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033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F2A8B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BB71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AE6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0EC9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7DB980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14C50F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934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68B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538A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F8ED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59D2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BD1C8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36B3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7D5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FE99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D863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C6E3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8B154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B988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8415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6E0B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B045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3ED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9705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EA85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CF6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32F2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4A71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772E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943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1F7D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455F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072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A039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F3DB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C01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89F4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F619B6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B094D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69CE6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C0085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3A89F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F5699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B80AA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37A02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1D54D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C7D92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57118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58D84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A4380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88665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BFA6D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F5E0D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4FB70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BD7431D">
      <w:pPr>
        <w:rPr>
          <w:rFonts w:hint="default" w:ascii="Times New Roman" w:hAnsi="Times New Roman" w:cs="Times New Roman"/>
          <w:sz w:val="22"/>
          <w:szCs w:val="22"/>
        </w:rPr>
      </w:pPr>
    </w:p>
    <w:p w14:paraId="27C5F2C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8349FC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Serum Amyloid P Elisa Kit</w:t>
      </w:r>
    </w:p>
    <w:p w14:paraId="2B322D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6479CE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7C126B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45B7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41BCE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33485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EF801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AE647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74CBB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F5C1F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77E0E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A6656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31F8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A1787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ADC30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36100D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ABE3B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66ECF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585637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11491D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4A3BCE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32A84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7E34A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10E4E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285E6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E91D6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DB1772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E1F9E7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Amyloid P component, serum (SAP), also known as PTX2 or APCS, is the identical serum form of amyloid P component (AP), a 25kDa pentameric protein first identified as the pentagonal constituent of in vivo pathological deposits called "amyloid". It belongs to the pentraxins family, characterised by calcium dependent ligand binding and distinctive flattened β-jellyroll structure similar to that of the legume lectins. This gene is mapped to 1q23.2. The binding of the encoded protein to proteins in the pathological amyloid cross-beta fold suggests its possible role as a chaperone. This protein is also thought to control the degradation of chromatin. It has been demonstrated that this protein binds to apoptotic cells at an early stage, which raises the possibility that it is involved in dealing with apoptotic cells in vivo.</w:t>
      </w:r>
    </w:p>
    <w:p w14:paraId="00173F2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2CA839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C8CEEE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2ED9A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C6B1C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2A0C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3D979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724DB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7D2EC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C8DDA39">
      <w:pPr>
        <w:rPr>
          <w:rFonts w:hint="default" w:ascii="Times New Roman" w:hAnsi="Times New Roman" w:cs="Times New Roman"/>
          <w:b/>
          <w:bCs/>
          <w:sz w:val="28"/>
          <w:szCs w:val="28"/>
        </w:rPr>
      </w:pPr>
    </w:p>
    <w:p w14:paraId="331D96DA">
      <w:pPr>
        <w:rPr>
          <w:rFonts w:hint="default" w:ascii="Times New Roman" w:hAnsi="Times New Roman" w:cs="Times New Roman"/>
          <w:b/>
          <w:bCs/>
          <w:sz w:val="28"/>
          <w:szCs w:val="28"/>
        </w:rPr>
      </w:pPr>
    </w:p>
    <w:p w14:paraId="038DE214">
      <w:pPr>
        <w:rPr>
          <w:rFonts w:hint="default" w:ascii="Times New Roman" w:hAnsi="Times New Roman" w:cs="Times New Roman"/>
          <w:b/>
          <w:bCs/>
          <w:sz w:val="28"/>
          <w:szCs w:val="28"/>
        </w:rPr>
      </w:pPr>
    </w:p>
    <w:p w14:paraId="080F9531">
      <w:pPr>
        <w:rPr>
          <w:rFonts w:hint="default" w:ascii="Times New Roman" w:hAnsi="Times New Roman" w:cs="Times New Roman"/>
          <w:b/>
          <w:bCs/>
          <w:sz w:val="28"/>
          <w:szCs w:val="28"/>
        </w:rPr>
      </w:pPr>
    </w:p>
    <w:p w14:paraId="7250AAE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E25AB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F6333D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70670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FAF1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6CD6C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7672F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2DF8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77CE6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689DE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9E57A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ACDD8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80B1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C64F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86CF8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E5DBB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206D9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9B02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DD9B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62F1E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C94DC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0F4A9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07B6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CA22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E2A99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CF657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EC876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A39A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58F2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31E4A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A4CB4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A3048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49F9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B435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E2329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53BDF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40C55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B2F5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EB2A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053B7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3FB2E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E1C25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5AC7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98A7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8B6DF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D1074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55132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D6BB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9AD4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A5AFE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7EC60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2AAE9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A153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FC3D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5A72D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A2534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B88C9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78A3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7118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95EB5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008F8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39B7A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EEAB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1D32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07F30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D1B09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A0851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58F06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6F6BA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7D829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85533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FE8720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F3C31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8A141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B26A3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2C9BBD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6A8063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310854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3F433B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ACE490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692616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028C8F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43D837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A459E3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B8642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22C0AB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033BAF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07E7E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2160B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E1078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BDBDF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62153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3A624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5E27B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02A66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84A31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9DA10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4E5C5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AD543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AA797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2DC15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20C2F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ACB1C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E5085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AD94C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D4011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AA46B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73DE2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C2C8E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85705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F6A08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A9099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53915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8CB43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60450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466EA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4152C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BE0A9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4196A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985B6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D7B66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104EC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864D8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FCF59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E4F96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833C1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B2ADC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9DBA7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17441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79AA8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A7FEB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180F2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FDD58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59AC02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18AFB1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2A566E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5E92B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EA88F2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5139A3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0CB44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1FE48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9B1A5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599C5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8843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22A89B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0DE60A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1BB2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BD496E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E3A81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379F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F99962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C80599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97BF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C93FC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768115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5E106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DE616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574CD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2647C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B081B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3E357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3A029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D3F78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F228E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D04BD0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BD5F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B6EE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9F9117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D89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6D19D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DE5D1C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0F7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1144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FCA15B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DBD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0833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4736B9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BCF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5AB42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1EEF99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08C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4572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0014F1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CD1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58D7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0D4B3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3256F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82CC1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978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FEE4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A177A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E68C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F92E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21D3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8744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2C45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99D4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2BE9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3149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004F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401B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16135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A050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E866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EB4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F2D5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27E3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9FFD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C88F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44B7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6D34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83B5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E5F2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01E0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1BDB3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0412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691E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C631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35DB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DC4E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6CF4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DF48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7894A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712B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05980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0CC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246B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6FE83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9649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8C1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053F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B6EA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B64C2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3DC9D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9DAD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56DC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7BD83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F7E1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9A25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3979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CBFB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F9E2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F044E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FC52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9DC1E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8A5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7EA43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CA54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235E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4CF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07CD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659D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8E2BF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381BC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D20A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E0D60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4A607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91E3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A13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8685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1997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78F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20B8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A911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D25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5D67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46DE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6D2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6463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E384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AFF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CD38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8681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418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445F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3B4B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029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6902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AF1A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77D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4D76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09CA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F25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1AD1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A63C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005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F206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18A68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59AA5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2D3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FFD0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0C7F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B631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429BE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36B2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7AAE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1230A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08DDA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A82D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8B11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18B2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ED19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7E82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221D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682E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789C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34E1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7962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60812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8DDD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DABA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921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EDDF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8351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A4F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0E78B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3503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CEA0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9F09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4FE73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E3D0F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FA2F1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A34A8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D6715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48A6B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8C12A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3795E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5C300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9E318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E3ED0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E2D53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FB892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13A2D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FE0AB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0521E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582F3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54ED1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48B1B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C48B1B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F9798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B8374CE">
    <w:pPr>
      <w:pStyle w:val="6"/>
      <w:jc w:val="both"/>
    </w:pPr>
  </w:p>
  <w:p w14:paraId="79A323F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06913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D37DD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1BA282D"/>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847622E"/>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7226</Words>
  <Characters>10367</Characters>
  <Lines>251</Lines>
  <Paragraphs>70</Paragraphs>
  <TotalTime>0</TotalTime>
  <ScaleCrop>false</ScaleCrop>
  <LinksUpToDate>false</LinksUpToDate>
  <CharactersWithSpaces>10887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2026-08-18T06:04:24Z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